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7EAC" w14:textId="77777777" w:rsidR="008E12C9" w:rsidRPr="008E12C9" w:rsidRDefault="008E12C9" w:rsidP="008E12C9">
      <w:pPr>
        <w:shd w:val="clear" w:color="auto" w:fill="FFFFFF"/>
        <w:spacing w:after="90" w:line="240" w:lineRule="auto"/>
        <w:ind w:right="150"/>
        <w:outlineLvl w:val="0"/>
        <w:rPr>
          <w:rFonts w:eastAsia="Times New Roman" w:cs="Times New Roman"/>
          <w:iCs/>
          <w:color w:val="333333"/>
          <w:kern w:val="36"/>
          <w:sz w:val="40"/>
          <w:szCs w:val="40"/>
        </w:rPr>
      </w:pPr>
      <w:bookmarkStart w:id="0" w:name="_GoBack"/>
      <w:proofErr w:type="gramStart"/>
      <w:r w:rsidRPr="008E12C9">
        <w:rPr>
          <w:rFonts w:eastAsia="Times New Roman" w:cs="Times New Roman"/>
          <w:iCs/>
          <w:color w:val="333333"/>
          <w:kern w:val="36"/>
          <w:sz w:val="40"/>
          <w:szCs w:val="40"/>
        </w:rPr>
        <w:t>There’s</w:t>
      </w:r>
      <w:proofErr w:type="gramEnd"/>
      <w:r w:rsidRPr="008E12C9">
        <w:rPr>
          <w:rFonts w:eastAsia="Times New Roman" w:cs="Times New Roman"/>
          <w:iCs/>
          <w:color w:val="333333"/>
          <w:kern w:val="36"/>
          <w:sz w:val="40"/>
          <w:szCs w:val="40"/>
        </w:rPr>
        <w:t xml:space="preserve"> Apartheid in the Holy Land, but Not in Israel</w:t>
      </w:r>
    </w:p>
    <w:bookmarkEnd w:id="0"/>
    <w:p w14:paraId="59DD7A11" w14:textId="77777777" w:rsidR="002711F6" w:rsidRPr="008E12C9" w:rsidRDefault="008E12C9" w:rsidP="008E12C9">
      <w:pPr>
        <w:spacing w:after="0" w:line="240" w:lineRule="auto"/>
        <w:rPr>
          <w:rFonts w:cs="Times New Roman"/>
          <w:szCs w:val="24"/>
        </w:rPr>
      </w:pPr>
      <w:r w:rsidRPr="008E12C9">
        <w:rPr>
          <w:rFonts w:cs="Times New Roman"/>
          <w:szCs w:val="24"/>
        </w:rPr>
        <w:t>February 8, 2022</w:t>
      </w:r>
    </w:p>
    <w:p w14:paraId="20A0BDC9" w14:textId="77777777" w:rsidR="008E12C9" w:rsidRPr="008E12C9" w:rsidRDefault="008E12C9" w:rsidP="008E12C9">
      <w:pPr>
        <w:spacing w:after="0" w:line="240" w:lineRule="auto"/>
        <w:rPr>
          <w:rFonts w:cs="Times New Roman"/>
          <w:szCs w:val="24"/>
        </w:rPr>
      </w:pPr>
      <w:r w:rsidRPr="008E12C9">
        <w:rPr>
          <w:rFonts w:cs="Times New Roman"/>
          <w:szCs w:val="24"/>
        </w:rPr>
        <w:t>By Eugene Kontorovich</w:t>
      </w:r>
    </w:p>
    <w:p w14:paraId="519D992B" w14:textId="77777777" w:rsidR="008E12C9" w:rsidRPr="008E12C9" w:rsidRDefault="008E12C9" w:rsidP="008E12C9">
      <w:pPr>
        <w:spacing w:after="0" w:line="240" w:lineRule="auto"/>
        <w:rPr>
          <w:rFonts w:cs="Times New Roman"/>
          <w:szCs w:val="24"/>
        </w:rPr>
      </w:pPr>
      <w:r w:rsidRPr="008E12C9">
        <w:rPr>
          <w:rFonts w:cs="Times New Roman"/>
          <w:szCs w:val="24"/>
        </w:rPr>
        <w:t>The Wall Street Journal</w:t>
      </w:r>
    </w:p>
    <w:p w14:paraId="2609D599" w14:textId="77777777" w:rsidR="008E12C9" w:rsidRPr="008E12C9" w:rsidRDefault="008E12C9" w:rsidP="008E12C9">
      <w:pPr>
        <w:spacing w:after="0" w:line="240" w:lineRule="auto"/>
        <w:rPr>
          <w:rFonts w:cs="Times New Roman"/>
          <w:szCs w:val="24"/>
        </w:rPr>
      </w:pPr>
      <w:hyperlink r:id="rId4" w:history="1">
        <w:r w:rsidRPr="008E12C9">
          <w:rPr>
            <w:rStyle w:val="Hyperlink"/>
            <w:rFonts w:cs="Times New Roman"/>
            <w:szCs w:val="24"/>
          </w:rPr>
          <w:t>https://www.wsj.com/amp/articles/theres-apartheid-in-the-holy-land-but-not-in-israel-amnesty-international-palestine-racial-discrimination-disfavored-group-11644338888</w:t>
        </w:r>
      </w:hyperlink>
    </w:p>
    <w:p w14:paraId="6254134A" w14:textId="77777777" w:rsidR="008E12C9" w:rsidRPr="008E12C9" w:rsidRDefault="008E12C9" w:rsidP="008E12C9">
      <w:pPr>
        <w:spacing w:after="0" w:line="240" w:lineRule="auto"/>
        <w:rPr>
          <w:rFonts w:cs="Times New Roman"/>
          <w:szCs w:val="24"/>
        </w:rPr>
      </w:pPr>
    </w:p>
    <w:p w14:paraId="4E74ED60"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The </w:t>
      </w:r>
      <w:hyperlink r:id="rId5" w:tgtFrame="_blank" w:history="1">
        <w:r w:rsidRPr="008E12C9">
          <w:rPr>
            <w:rStyle w:val="Hyperlink"/>
            <w:rFonts w:cs="Times New Roman"/>
            <w:color w:val="0274B6"/>
            <w:szCs w:val="24"/>
          </w:rPr>
          <w:t>report by Amnesty International</w:t>
        </w:r>
      </w:hyperlink>
      <w:r w:rsidRPr="008E12C9">
        <w:rPr>
          <w:rFonts w:cs="Times New Roman"/>
          <w:color w:val="333333"/>
          <w:szCs w:val="24"/>
        </w:rPr>
        <w:t> accusing </w:t>
      </w:r>
      <w:hyperlink r:id="rId6" w:tgtFrame="_blank" w:history="1">
        <w:r w:rsidRPr="008E12C9">
          <w:rPr>
            <w:rStyle w:val="Hyperlink"/>
            <w:rFonts w:cs="Times New Roman"/>
            <w:color w:val="0274B6"/>
            <w:szCs w:val="24"/>
          </w:rPr>
          <w:t>Israel of apartheid</w:t>
        </w:r>
      </w:hyperlink>
      <w:r w:rsidRPr="008E12C9">
        <w:rPr>
          <w:rFonts w:cs="Times New Roman"/>
          <w:color w:val="333333"/>
          <w:szCs w:val="24"/>
        </w:rPr>
        <w:t>—a likely preview of similar moves at the United Nations and the International Criminal Court—has been widely debunked, including </w:t>
      </w:r>
      <w:hyperlink r:id="rId7" w:tgtFrame="_blank" w:history="1">
        <w:r w:rsidRPr="008E12C9">
          <w:rPr>
            <w:rStyle w:val="Hyperlink"/>
            <w:rFonts w:cs="Times New Roman"/>
            <w:color w:val="0274B6"/>
            <w:szCs w:val="24"/>
          </w:rPr>
          <w:t>in these pages</w:t>
        </w:r>
      </w:hyperlink>
      <w:r w:rsidRPr="008E12C9">
        <w:rPr>
          <w:rFonts w:cs="Times New Roman"/>
          <w:color w:val="333333"/>
          <w:szCs w:val="24"/>
        </w:rPr>
        <w:t>. Yet what is remarkable about its 200 pages of distortions is the evidence of real apartheid-like policies that Amnesty leaves out. There are reasons to be concerned about the emergence of apartheid in the Holy Land—but not the ones Amnesty cites.</w:t>
      </w:r>
    </w:p>
    <w:p w14:paraId="76C36080"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The defining characteristic of apartheid—what distinguishes it from generic racial discrimination—is the rigid separation of groups in public spaces and positions of power. This is the </w:t>
      </w:r>
      <w:r w:rsidRPr="008E12C9">
        <w:rPr>
          <w:rStyle w:val="Emphasis"/>
          <w:rFonts w:cs="Times New Roman"/>
          <w:color w:val="333333"/>
          <w:szCs w:val="24"/>
        </w:rPr>
        <w:t>apart </w:t>
      </w:r>
      <w:r w:rsidRPr="008E12C9">
        <w:rPr>
          <w:rFonts w:cs="Times New Roman"/>
          <w:color w:val="333333"/>
          <w:szCs w:val="24"/>
        </w:rPr>
        <w:t>in apartheid.</w:t>
      </w:r>
    </w:p>
    <w:p w14:paraId="405A0C88"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 xml:space="preserve">Thus, a sign of apartheid could be a government policy that bans real-estate sales or transactions to the disfavored group. Apartheid </w:t>
      </w:r>
      <w:proofErr w:type="gramStart"/>
      <w:r w:rsidRPr="008E12C9">
        <w:rPr>
          <w:rFonts w:cs="Times New Roman"/>
          <w:color w:val="333333"/>
          <w:szCs w:val="24"/>
        </w:rPr>
        <w:t>is suggested</w:t>
      </w:r>
      <w:proofErr w:type="gramEnd"/>
      <w:r w:rsidRPr="008E12C9">
        <w:rPr>
          <w:rFonts w:cs="Times New Roman"/>
          <w:color w:val="333333"/>
          <w:szCs w:val="24"/>
        </w:rPr>
        <w:t xml:space="preserve"> by policies that carve out massive zones where the disfavored group cannot live or work, create ethnically homogenous zones, and restrict the disfavored group to ghettos. One might consider it apartheid if a government enforced a policy of extrajudicial execution of members of a disfavored group.</w:t>
      </w:r>
    </w:p>
    <w:p w14:paraId="599F84F6"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 xml:space="preserve">All these policies </w:t>
      </w:r>
      <w:proofErr w:type="gramStart"/>
      <w:r w:rsidRPr="008E12C9">
        <w:rPr>
          <w:rFonts w:cs="Times New Roman"/>
          <w:color w:val="333333"/>
          <w:szCs w:val="24"/>
        </w:rPr>
        <w:t>are practiced</w:t>
      </w:r>
      <w:proofErr w:type="gramEnd"/>
      <w:r w:rsidRPr="008E12C9">
        <w:rPr>
          <w:rFonts w:cs="Times New Roman"/>
          <w:color w:val="333333"/>
          <w:szCs w:val="24"/>
        </w:rPr>
        <w:t xml:space="preserve"> in the West Bank and Gaza—by the Palestinian Authority government against Jews. What makes the “Israel apartheid” meme particularly despicable is that is not just a </w:t>
      </w:r>
      <w:proofErr w:type="gramStart"/>
      <w:r w:rsidRPr="008E12C9">
        <w:rPr>
          <w:rFonts w:cs="Times New Roman"/>
          <w:color w:val="333333"/>
          <w:szCs w:val="24"/>
        </w:rPr>
        <w:t>lie,</w:t>
      </w:r>
      <w:proofErr w:type="gramEnd"/>
      <w:r w:rsidRPr="008E12C9">
        <w:rPr>
          <w:rFonts w:cs="Times New Roman"/>
          <w:color w:val="333333"/>
          <w:szCs w:val="24"/>
        </w:rPr>
        <w:t xml:space="preserve"> it is an inversion of the truth. In all areas controlled by Israel, Jews and Arabs mix openly. Yet the Palestinian Authority has for decades ruled over Gaza and about half the West Bank—and all the areas under its jurisdiction are Jew-free.</w:t>
      </w:r>
    </w:p>
    <w:p w14:paraId="57BCBD1D"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 xml:space="preserve">There </w:t>
      </w:r>
      <w:proofErr w:type="gramStart"/>
      <w:r w:rsidRPr="008E12C9">
        <w:rPr>
          <w:rFonts w:cs="Times New Roman"/>
          <w:color w:val="333333"/>
          <w:szCs w:val="24"/>
        </w:rPr>
        <w:t>isn’t</w:t>
      </w:r>
      <w:proofErr w:type="gramEnd"/>
      <w:r w:rsidRPr="008E12C9">
        <w:rPr>
          <w:rFonts w:cs="Times New Roman"/>
          <w:color w:val="333333"/>
          <w:szCs w:val="24"/>
        </w:rPr>
        <w:t xml:space="preserve"> a single Jewish community living anywhere under Palestinian control. This </w:t>
      </w:r>
      <w:proofErr w:type="gramStart"/>
      <w:r w:rsidRPr="008E12C9">
        <w:rPr>
          <w:rFonts w:cs="Times New Roman"/>
          <w:color w:val="333333"/>
          <w:szCs w:val="24"/>
        </w:rPr>
        <w:t>isn’t</w:t>
      </w:r>
      <w:proofErr w:type="gramEnd"/>
      <w:r w:rsidRPr="008E12C9">
        <w:rPr>
          <w:rFonts w:cs="Times New Roman"/>
          <w:color w:val="333333"/>
          <w:szCs w:val="24"/>
        </w:rPr>
        <w:t xml:space="preserve"> because of Jewish preferences. Jewish communities exist across the world; they would certainly exist 10 minutes from Jerusalem if it </w:t>
      </w:r>
      <w:proofErr w:type="gramStart"/>
      <w:r w:rsidRPr="008E12C9">
        <w:rPr>
          <w:rFonts w:cs="Times New Roman"/>
          <w:color w:val="333333"/>
          <w:szCs w:val="24"/>
        </w:rPr>
        <w:t>weren’t</w:t>
      </w:r>
      <w:proofErr w:type="gramEnd"/>
      <w:r w:rsidRPr="008E12C9">
        <w:rPr>
          <w:rFonts w:cs="Times New Roman"/>
          <w:color w:val="333333"/>
          <w:szCs w:val="24"/>
        </w:rPr>
        <w:t xml:space="preserve"> for the Palestinian Authority’s policies of excluding Jews and inciting violence and prejudice against them.</w:t>
      </w:r>
    </w:p>
    <w:p w14:paraId="7EAFE303"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Palestinian law makes selling land to Jews </w:t>
      </w:r>
      <w:hyperlink r:id="rId8" w:tgtFrame="_blank" w:history="1">
        <w:r w:rsidRPr="008E12C9">
          <w:rPr>
            <w:rStyle w:val="Hyperlink"/>
            <w:rFonts w:cs="Times New Roman"/>
            <w:color w:val="0274B6"/>
            <w:szCs w:val="24"/>
          </w:rPr>
          <w:t>a crime</w:t>
        </w:r>
      </w:hyperlink>
      <w:r w:rsidRPr="008E12C9">
        <w:rPr>
          <w:rFonts w:cs="Times New Roman"/>
          <w:color w:val="333333"/>
          <w:szCs w:val="24"/>
        </w:rPr>
        <w:t> punishable by death, often without trial. Nor does the authority recognize any Jewish titles to private property. Last year a </w:t>
      </w:r>
      <w:hyperlink r:id="rId9" w:tgtFrame="_blank" w:history="1">
        <w:r w:rsidRPr="008E12C9">
          <w:rPr>
            <w:rStyle w:val="Hyperlink"/>
            <w:rFonts w:cs="Times New Roman"/>
            <w:color w:val="0274B6"/>
            <w:szCs w:val="24"/>
          </w:rPr>
          <w:t>Palestinian religious official said</w:t>
        </w:r>
      </w:hyperlink>
      <w:r w:rsidRPr="008E12C9">
        <w:rPr>
          <w:rFonts w:cs="Times New Roman"/>
          <w:color w:val="333333"/>
          <w:szCs w:val="24"/>
        </w:rPr>
        <w:t xml:space="preserve"> on Palestinian </w:t>
      </w:r>
      <w:proofErr w:type="gramStart"/>
      <w:r w:rsidRPr="008E12C9">
        <w:rPr>
          <w:rFonts w:cs="Times New Roman"/>
          <w:color w:val="333333"/>
          <w:szCs w:val="24"/>
        </w:rPr>
        <w:t>TV that</w:t>
      </w:r>
      <w:proofErr w:type="gramEnd"/>
      <w:r w:rsidRPr="008E12C9">
        <w:rPr>
          <w:rFonts w:cs="Times New Roman"/>
          <w:color w:val="333333"/>
          <w:szCs w:val="24"/>
        </w:rPr>
        <w:t xml:space="preserve"> “this land is a pure right of its Muslim owners, the people of Palestine.” A senior Palestinian Authority figure said in an official publication, “Whoever sells real estate to the </w:t>
      </w:r>
      <w:proofErr w:type="gramStart"/>
      <w:r w:rsidRPr="008E12C9">
        <w:rPr>
          <w:rFonts w:cs="Times New Roman"/>
          <w:color w:val="333333"/>
          <w:szCs w:val="24"/>
        </w:rPr>
        <w:t>enemy .</w:t>
      </w:r>
      <w:proofErr w:type="gramEnd"/>
      <w:r w:rsidRPr="008E12C9">
        <w:rPr>
          <w:rFonts w:cs="Times New Roman"/>
          <w:color w:val="333333"/>
          <w:szCs w:val="24"/>
        </w:rPr>
        <w:t> . . is considered a traitor to the religion, the homeland, and the people, and all those who commit this must be punished.”</w:t>
      </w:r>
    </w:p>
    <w:p w14:paraId="3CA4F65B"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In Israel, by contrast, Arabs enjoy full property rights, enforced by the courts against Jews. Perversely, Amnesty cites as an example of Israeli apartheid a series of legal proceedings in which Jewish property owners in the </w:t>
      </w:r>
      <w:hyperlink r:id="rId10" w:tgtFrame="_blank" w:history="1">
        <w:r w:rsidRPr="008E12C9">
          <w:rPr>
            <w:rStyle w:val="Hyperlink"/>
            <w:rFonts w:cs="Times New Roman"/>
            <w:color w:val="0274B6"/>
            <w:szCs w:val="24"/>
          </w:rPr>
          <w:t>Jerusalem neighborhood of Sheikh Jarrah</w:t>
        </w:r>
      </w:hyperlink>
      <w:r w:rsidRPr="008E12C9">
        <w:rPr>
          <w:rFonts w:cs="Times New Roman"/>
          <w:color w:val="333333"/>
          <w:szCs w:val="24"/>
        </w:rPr>
        <w:t> seek (thus far unsuccessfully) </w:t>
      </w:r>
      <w:hyperlink r:id="rId11" w:tgtFrame="_blank" w:history="1">
        <w:r w:rsidRPr="008E12C9">
          <w:rPr>
            <w:rStyle w:val="Hyperlink"/>
            <w:rFonts w:cs="Times New Roman"/>
            <w:color w:val="0274B6"/>
            <w:szCs w:val="24"/>
          </w:rPr>
          <w:t>to evict squatters</w:t>
        </w:r>
      </w:hyperlink>
      <w:r w:rsidRPr="008E12C9">
        <w:rPr>
          <w:rFonts w:cs="Times New Roman"/>
          <w:color w:val="333333"/>
          <w:szCs w:val="24"/>
        </w:rPr>
        <w:t xml:space="preserve"> who happen to be Arab. In Amnesty’s alternate universe, Jews enforcing their property rights is apartheid; Jews being denied the right to own property </w:t>
      </w:r>
      <w:proofErr w:type="gramStart"/>
      <w:r w:rsidRPr="008E12C9">
        <w:rPr>
          <w:rFonts w:cs="Times New Roman"/>
          <w:color w:val="333333"/>
          <w:szCs w:val="24"/>
        </w:rPr>
        <w:t>isn’t</w:t>
      </w:r>
      <w:proofErr w:type="gramEnd"/>
      <w:r w:rsidRPr="008E12C9">
        <w:rPr>
          <w:rFonts w:cs="Times New Roman"/>
          <w:color w:val="333333"/>
          <w:szCs w:val="24"/>
        </w:rPr>
        <w:t xml:space="preserve">. The South African government used death squads against blacks. The Palestinian government </w:t>
      </w:r>
      <w:r w:rsidRPr="008E12C9">
        <w:rPr>
          <w:rFonts w:cs="Times New Roman"/>
          <w:color w:val="333333"/>
          <w:szCs w:val="24"/>
        </w:rPr>
        <w:lastRenderedPageBreak/>
        <w:t>pays terrorists for killing Jews—the more people killed, the bigger the bounty. It regularly imprisons the few brave Palestinians who speak out against its policies.</w:t>
      </w:r>
    </w:p>
    <w:p w14:paraId="1F8BDC19"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 xml:space="preserve">In all the territories controlled by the Palestinian government, Jews </w:t>
      </w:r>
      <w:proofErr w:type="gramStart"/>
      <w:r w:rsidRPr="008E12C9">
        <w:rPr>
          <w:rFonts w:cs="Times New Roman"/>
          <w:color w:val="333333"/>
          <w:szCs w:val="24"/>
        </w:rPr>
        <w:t>are prevented</w:t>
      </w:r>
      <w:proofErr w:type="gramEnd"/>
      <w:r w:rsidRPr="008E12C9">
        <w:rPr>
          <w:rFonts w:cs="Times New Roman"/>
          <w:color w:val="333333"/>
          <w:szCs w:val="24"/>
        </w:rPr>
        <w:t xml:space="preserve"> from worshipping at their holy sites, despite explicit provisions in the Oslo Accords requiring the Palestinian Authority to protect such worship. When Jews manage to visit such shrines, they must come in the middle of the night under armed guard. And even in areas under Israeli control, like the Temple Mount—Jews’ holiest site—the Palestinian Authority prevents public Jewish prayer by threatening mass violence if Jews “defile” it with their “filthy feet,” in the words of President Mahmoud Abbas.</w:t>
      </w:r>
    </w:p>
    <w:p w14:paraId="53877928"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 xml:space="preserve">All this is part of a larger vision. The Palestinian Constitution defines Palestine as an exclusively “Arab nation,” with Islam the official religion and Arabic the sole official language. At the same time, Palestinian officials and educators deny any Jewish history or connection to Israel. In Israel, on the other hand, though it is the only Jewish-majority country in the world, Judaism </w:t>
      </w:r>
      <w:proofErr w:type="gramStart"/>
      <w:r w:rsidRPr="008E12C9">
        <w:rPr>
          <w:rFonts w:cs="Times New Roman"/>
          <w:color w:val="333333"/>
          <w:szCs w:val="24"/>
        </w:rPr>
        <w:t>isn’t</w:t>
      </w:r>
      <w:proofErr w:type="gramEnd"/>
      <w:r w:rsidRPr="008E12C9">
        <w:rPr>
          <w:rFonts w:cs="Times New Roman"/>
          <w:color w:val="333333"/>
          <w:szCs w:val="24"/>
        </w:rPr>
        <w:t xml:space="preserve"> the official religion. Both Hebrew and Arabic enjoy official status. Yet Amnesty claims that merely identifying as a “nation state” of a particular people is an apartheid practice—but only when it comes to Israel.</w:t>
      </w:r>
    </w:p>
    <w:p w14:paraId="0F3FD7B7" w14:textId="77777777" w:rsidR="008E12C9" w:rsidRPr="008E12C9" w:rsidRDefault="008E12C9" w:rsidP="008E12C9">
      <w:pPr>
        <w:shd w:val="clear" w:color="auto" w:fill="FFFFFF"/>
        <w:spacing w:line="240" w:lineRule="auto"/>
        <w:rPr>
          <w:rFonts w:cs="Times New Roman"/>
          <w:color w:val="333333"/>
          <w:szCs w:val="24"/>
        </w:rPr>
      </w:pPr>
      <w:r w:rsidRPr="008E12C9">
        <w:rPr>
          <w:rFonts w:cs="Times New Roman"/>
          <w:color w:val="333333"/>
          <w:szCs w:val="24"/>
        </w:rPr>
        <w:t xml:space="preserve">Apartheid is not merely a term of opprobrium, it is a crime created by and defined in international treaties. As a legal matter, while Ramallah’s treatment of Jews is discriminatory and violates human rights, it is impossible to say it formally qualifies as apartheid. The standard for apartheid has been set so high by the international community, that thus far only South Africa </w:t>
      </w:r>
      <w:proofErr w:type="gramStart"/>
      <w:r w:rsidRPr="008E12C9">
        <w:rPr>
          <w:rFonts w:cs="Times New Roman"/>
          <w:color w:val="333333"/>
          <w:szCs w:val="24"/>
        </w:rPr>
        <w:t>has been deemed</w:t>
      </w:r>
      <w:proofErr w:type="gramEnd"/>
      <w:r w:rsidRPr="008E12C9">
        <w:rPr>
          <w:rFonts w:cs="Times New Roman"/>
          <w:color w:val="333333"/>
          <w:szCs w:val="24"/>
        </w:rPr>
        <w:t xml:space="preserve"> a clear case. </w:t>
      </w:r>
      <w:proofErr w:type="gramStart"/>
      <w:r w:rsidRPr="008E12C9">
        <w:rPr>
          <w:rFonts w:cs="Times New Roman"/>
          <w:color w:val="333333"/>
          <w:szCs w:val="24"/>
        </w:rPr>
        <w:t>But</w:t>
      </w:r>
      <w:proofErr w:type="gramEnd"/>
      <w:r w:rsidRPr="008E12C9">
        <w:rPr>
          <w:rFonts w:cs="Times New Roman"/>
          <w:color w:val="333333"/>
          <w:szCs w:val="24"/>
        </w:rPr>
        <w:t xml:space="preserve"> by the standards implicit in Amnesty’s report, the Palestinian government is guilty.</w:t>
      </w:r>
    </w:p>
    <w:p w14:paraId="1F433557" w14:textId="77777777" w:rsidR="008E12C9" w:rsidRPr="008E12C9" w:rsidRDefault="008E12C9" w:rsidP="008E12C9">
      <w:pPr>
        <w:spacing w:line="240" w:lineRule="auto"/>
        <w:rPr>
          <w:rFonts w:cs="Times New Roman"/>
          <w:szCs w:val="24"/>
        </w:rPr>
      </w:pPr>
    </w:p>
    <w:sectPr w:rsidR="008E12C9" w:rsidRPr="008E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C9"/>
    <w:rsid w:val="007733EE"/>
    <w:rsid w:val="00877E19"/>
    <w:rsid w:val="008E12C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2E3A"/>
  <w15:chartTrackingRefBased/>
  <w15:docId w15:val="{0DA96658-835C-4992-801B-70DDEF5C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E12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2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E12C9"/>
    <w:rPr>
      <w:color w:val="0563C1" w:themeColor="hyperlink"/>
      <w:u w:val="single"/>
    </w:rPr>
  </w:style>
  <w:style w:type="character" w:styleId="Emphasis">
    <w:name w:val="Emphasis"/>
    <w:basedOn w:val="DefaultParagraphFont"/>
    <w:uiPriority w:val="20"/>
    <w:qFormat/>
    <w:rsid w:val="008E12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41319">
      <w:bodyDiv w:val="1"/>
      <w:marLeft w:val="0"/>
      <w:marRight w:val="0"/>
      <w:marTop w:val="0"/>
      <w:marBottom w:val="0"/>
      <w:divBdr>
        <w:top w:val="none" w:sz="0" w:space="0" w:color="auto"/>
        <w:left w:val="none" w:sz="0" w:space="0" w:color="auto"/>
        <w:bottom w:val="none" w:sz="0" w:space="0" w:color="auto"/>
        <w:right w:val="none" w:sz="0" w:space="0" w:color="auto"/>
      </w:divBdr>
      <w:divsChild>
        <w:div w:id="1861703292">
          <w:marLeft w:val="150"/>
          <w:marRight w:val="150"/>
          <w:marTop w:val="0"/>
          <w:marBottom w:val="240"/>
          <w:divBdr>
            <w:top w:val="none" w:sz="0" w:space="0" w:color="auto"/>
            <w:left w:val="none" w:sz="0" w:space="0" w:color="auto"/>
            <w:bottom w:val="none" w:sz="0" w:space="0" w:color="auto"/>
            <w:right w:val="none" w:sz="0" w:space="0" w:color="auto"/>
          </w:divBdr>
        </w:div>
        <w:div w:id="106703093">
          <w:marLeft w:val="0"/>
          <w:marRight w:val="0"/>
          <w:marTop w:val="0"/>
          <w:marBottom w:val="0"/>
          <w:divBdr>
            <w:top w:val="none" w:sz="0" w:space="0" w:color="auto"/>
            <w:left w:val="none" w:sz="0" w:space="0" w:color="auto"/>
            <w:bottom w:val="none" w:sz="0" w:space="0" w:color="auto"/>
            <w:right w:val="none" w:sz="0" w:space="0" w:color="auto"/>
          </w:divBdr>
          <w:divsChild>
            <w:div w:id="1999771112">
              <w:marLeft w:val="150"/>
              <w:marRight w:val="150"/>
              <w:marTop w:val="0"/>
              <w:marBottom w:val="240"/>
              <w:divBdr>
                <w:top w:val="none" w:sz="0" w:space="0" w:color="auto"/>
                <w:left w:val="none" w:sz="0" w:space="0" w:color="auto"/>
                <w:bottom w:val="none" w:sz="0" w:space="0" w:color="auto"/>
                <w:right w:val="none" w:sz="0" w:space="0" w:color="auto"/>
              </w:divBdr>
            </w:div>
            <w:div w:id="46953266">
              <w:marLeft w:val="150"/>
              <w:marRight w:val="150"/>
              <w:marTop w:val="0"/>
              <w:marBottom w:val="240"/>
              <w:divBdr>
                <w:top w:val="none" w:sz="0" w:space="0" w:color="auto"/>
                <w:left w:val="none" w:sz="0" w:space="0" w:color="auto"/>
                <w:bottom w:val="none" w:sz="0" w:space="0" w:color="auto"/>
                <w:right w:val="none" w:sz="0" w:space="0" w:color="auto"/>
              </w:divBdr>
            </w:div>
            <w:div w:id="1593782596">
              <w:marLeft w:val="150"/>
              <w:marRight w:val="150"/>
              <w:marTop w:val="0"/>
              <w:marBottom w:val="240"/>
              <w:divBdr>
                <w:top w:val="none" w:sz="0" w:space="0" w:color="auto"/>
                <w:left w:val="none" w:sz="0" w:space="0" w:color="auto"/>
                <w:bottom w:val="none" w:sz="0" w:space="0" w:color="auto"/>
                <w:right w:val="none" w:sz="0" w:space="0" w:color="auto"/>
              </w:divBdr>
            </w:div>
            <w:div w:id="655185769">
              <w:marLeft w:val="150"/>
              <w:marRight w:val="150"/>
              <w:marTop w:val="0"/>
              <w:marBottom w:val="240"/>
              <w:divBdr>
                <w:top w:val="none" w:sz="0" w:space="0" w:color="auto"/>
                <w:left w:val="none" w:sz="0" w:space="0" w:color="auto"/>
                <w:bottom w:val="none" w:sz="0" w:space="0" w:color="auto"/>
                <w:right w:val="none" w:sz="0" w:space="0" w:color="auto"/>
              </w:divBdr>
            </w:div>
            <w:div w:id="1733498778">
              <w:marLeft w:val="150"/>
              <w:marRight w:val="150"/>
              <w:marTop w:val="0"/>
              <w:marBottom w:val="240"/>
              <w:divBdr>
                <w:top w:val="none" w:sz="0" w:space="0" w:color="auto"/>
                <w:left w:val="none" w:sz="0" w:space="0" w:color="auto"/>
                <w:bottom w:val="none" w:sz="0" w:space="0" w:color="auto"/>
                <w:right w:val="none" w:sz="0" w:space="0" w:color="auto"/>
              </w:divBdr>
            </w:div>
            <w:div w:id="122777297">
              <w:marLeft w:val="150"/>
              <w:marRight w:val="150"/>
              <w:marTop w:val="0"/>
              <w:marBottom w:val="240"/>
              <w:divBdr>
                <w:top w:val="none" w:sz="0" w:space="0" w:color="auto"/>
                <w:left w:val="none" w:sz="0" w:space="0" w:color="auto"/>
                <w:bottom w:val="none" w:sz="0" w:space="0" w:color="auto"/>
                <w:right w:val="none" w:sz="0" w:space="0" w:color="auto"/>
              </w:divBdr>
            </w:div>
            <w:div w:id="1718890080">
              <w:marLeft w:val="150"/>
              <w:marRight w:val="150"/>
              <w:marTop w:val="0"/>
              <w:marBottom w:val="240"/>
              <w:divBdr>
                <w:top w:val="none" w:sz="0" w:space="0" w:color="auto"/>
                <w:left w:val="none" w:sz="0" w:space="0" w:color="auto"/>
                <w:bottom w:val="none" w:sz="0" w:space="0" w:color="auto"/>
                <w:right w:val="none" w:sz="0" w:space="0" w:color="auto"/>
              </w:divBdr>
            </w:div>
            <w:div w:id="722561919">
              <w:marLeft w:val="150"/>
              <w:marRight w:val="150"/>
              <w:marTop w:val="0"/>
              <w:marBottom w:val="240"/>
              <w:divBdr>
                <w:top w:val="none" w:sz="0" w:space="0" w:color="auto"/>
                <w:left w:val="none" w:sz="0" w:space="0" w:color="auto"/>
                <w:bottom w:val="none" w:sz="0" w:space="0" w:color="auto"/>
                <w:right w:val="none" w:sz="0" w:space="0" w:color="auto"/>
              </w:divBdr>
            </w:div>
            <w:div w:id="112943041">
              <w:marLeft w:val="150"/>
              <w:marRight w:val="150"/>
              <w:marTop w:val="0"/>
              <w:marBottom w:val="240"/>
              <w:divBdr>
                <w:top w:val="none" w:sz="0" w:space="0" w:color="auto"/>
                <w:left w:val="none" w:sz="0" w:space="0" w:color="auto"/>
                <w:bottom w:val="none" w:sz="0" w:space="0" w:color="auto"/>
                <w:right w:val="none" w:sz="0" w:space="0" w:color="auto"/>
              </w:divBdr>
            </w:div>
          </w:divsChild>
        </w:div>
      </w:divsChild>
    </w:div>
    <w:div w:id="18988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SCzCi/https:/www.timesofisrael.com/abbas-toughens-law-against-palestinians-selling-land-to-jew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chive.vn/o/SCzCi/https:/www.wsj.com/articles/the-apartheid-libel-of-israel-amnesty-international-report-11643669544?mod=article_i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SCzCi/https:/www.wsj.com/articles/israel-palestine-apartheid-human-right-amnesty-international-1948-un-united-nations-report-11644006707?mod=opinion_lead_pos7&amp;mod=article_inline" TargetMode="External"/><Relationship Id="rId11" Type="http://schemas.openxmlformats.org/officeDocument/2006/relationships/hyperlink" Target="https://archive.vn/o/SCzCi/https:/en.kohelet.org.il/wp-content/uploads/2021/05/sheikh-jarrah-brief.pdf" TargetMode="External"/><Relationship Id="rId5" Type="http://schemas.openxmlformats.org/officeDocument/2006/relationships/hyperlink" Target="https://archive.vn/o/SCzCi/https:/www.amnesty.org/en/documents/mde15/5141/2022/en/" TargetMode="External"/><Relationship Id="rId10" Type="http://schemas.openxmlformats.org/officeDocument/2006/relationships/hyperlink" Target="https://archive.vn/o/SCzCi/https:/www.wsj.com/articles/almost-nothing-youve-heard-about-evictions-in-jerusalem-is-true-11621019410?mod=article_inline" TargetMode="External"/><Relationship Id="rId4" Type="http://schemas.openxmlformats.org/officeDocument/2006/relationships/hyperlink" Target="https://www.wsj.com/amp/articles/theres-apartheid-in-the-holy-land-but-not-in-israel-amnesty-international-palestine-racial-discrimination-disfavored-group-11644338888" TargetMode="External"/><Relationship Id="rId9" Type="http://schemas.openxmlformats.org/officeDocument/2006/relationships/hyperlink" Target="https://archive.vn/o/SCzCi/https:/palwatch.org/page/1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2022-02-09T18:53:00Z</dcterms:created>
  <dcterms:modified xsi:type="dcterms:W3CDTF">2022-02-09T18:58:00Z</dcterms:modified>
</cp:coreProperties>
</file>