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C11C0C" w:rsidRDefault="00C11C0C">
      <w:pPr>
        <w:rPr>
          <w:rFonts w:ascii="Arial" w:hAnsi="Arial" w:cs="Arial"/>
          <w:spacing w:val="5"/>
          <w:sz w:val="44"/>
          <w:szCs w:val="44"/>
        </w:rPr>
      </w:pPr>
      <w:r w:rsidRPr="00C11C0C">
        <w:rPr>
          <w:rFonts w:ascii="Arial" w:hAnsi="Arial" w:cs="Arial"/>
          <w:spacing w:val="5"/>
          <w:sz w:val="44"/>
          <w:szCs w:val="44"/>
        </w:rPr>
        <w:t>Chairman Royce Statement on Report from UN’s Commiss</w:t>
      </w:r>
      <w:bookmarkStart w:id="0" w:name="_GoBack"/>
      <w:bookmarkEnd w:id="0"/>
      <w:r w:rsidRPr="00C11C0C">
        <w:rPr>
          <w:rFonts w:ascii="Arial" w:hAnsi="Arial" w:cs="Arial"/>
          <w:spacing w:val="5"/>
          <w:sz w:val="44"/>
          <w:szCs w:val="44"/>
        </w:rPr>
        <w:t>ion of Inquiry on Gaza Conflict</w:t>
      </w:r>
    </w:p>
    <w:p w:rsidR="00C11C0C" w:rsidRPr="00C11C0C" w:rsidRDefault="00C11C0C" w:rsidP="00C11C0C">
      <w:pPr>
        <w:spacing w:after="0" w:line="240" w:lineRule="auto"/>
        <w:rPr>
          <w:rFonts w:ascii="Arial" w:hAnsi="Arial" w:cs="Arial"/>
          <w:spacing w:val="5"/>
          <w:sz w:val="28"/>
          <w:szCs w:val="28"/>
        </w:rPr>
      </w:pPr>
      <w:r w:rsidRPr="00C11C0C">
        <w:rPr>
          <w:rFonts w:ascii="Arial" w:hAnsi="Arial" w:cs="Arial"/>
          <w:spacing w:val="5"/>
          <w:sz w:val="28"/>
          <w:szCs w:val="28"/>
        </w:rPr>
        <w:t>June 22, 2015</w:t>
      </w:r>
    </w:p>
    <w:p w:rsidR="00C11C0C" w:rsidRPr="00C11C0C" w:rsidRDefault="00C11C0C" w:rsidP="00C11C0C">
      <w:pPr>
        <w:spacing w:after="0" w:line="240" w:lineRule="auto"/>
        <w:rPr>
          <w:rFonts w:ascii="Arial" w:hAnsi="Arial" w:cs="Arial"/>
          <w:spacing w:val="5"/>
          <w:sz w:val="28"/>
          <w:szCs w:val="28"/>
        </w:rPr>
      </w:pPr>
      <w:r w:rsidRPr="00C11C0C">
        <w:rPr>
          <w:rFonts w:ascii="Arial" w:hAnsi="Arial" w:cs="Arial"/>
          <w:spacing w:val="5"/>
          <w:sz w:val="28"/>
          <w:szCs w:val="28"/>
        </w:rPr>
        <w:t>U.S. House Committee on Foreign Affairs</w:t>
      </w:r>
    </w:p>
    <w:p w:rsidR="00C11C0C" w:rsidRPr="00C11C0C" w:rsidRDefault="00C11C0C" w:rsidP="00C11C0C">
      <w:pPr>
        <w:spacing w:after="0" w:line="240" w:lineRule="auto"/>
        <w:rPr>
          <w:rFonts w:ascii="Arial" w:hAnsi="Arial" w:cs="Arial"/>
          <w:sz w:val="28"/>
          <w:szCs w:val="28"/>
        </w:rPr>
      </w:pPr>
      <w:hyperlink r:id="rId4" w:history="1">
        <w:r w:rsidRPr="00C11C0C">
          <w:rPr>
            <w:rStyle w:val="Hyperlink"/>
            <w:rFonts w:ascii="Arial" w:hAnsi="Arial" w:cs="Arial"/>
            <w:color w:val="auto"/>
            <w:sz w:val="28"/>
            <w:szCs w:val="28"/>
          </w:rPr>
          <w:t>http://foreignaffairs.house.gov/press-release/chairman-royce-statement-report-un-s-commission-inquiry-gaza-conflict</w:t>
        </w:r>
      </w:hyperlink>
    </w:p>
    <w:p w:rsidR="00C11C0C" w:rsidRDefault="00C11C0C" w:rsidP="00C11C0C">
      <w:pPr>
        <w:shd w:val="clear" w:color="auto" w:fill="FFFFFF"/>
        <w:spacing w:after="300" w:line="360" w:lineRule="atLeast"/>
        <w:jc w:val="left"/>
        <w:rPr>
          <w:rFonts w:ascii="Arial" w:eastAsia="Times New Roman" w:hAnsi="Arial" w:cs="Arial"/>
          <w:bCs/>
          <w:sz w:val="28"/>
          <w:szCs w:val="28"/>
        </w:rPr>
      </w:pPr>
    </w:p>
    <w:p w:rsidR="00C11C0C" w:rsidRPr="00C11C0C" w:rsidRDefault="00C11C0C" w:rsidP="00C11C0C">
      <w:pPr>
        <w:shd w:val="clear" w:color="auto" w:fill="FFFFFF"/>
        <w:spacing w:after="300" w:line="360" w:lineRule="atLeast"/>
        <w:jc w:val="left"/>
        <w:rPr>
          <w:rFonts w:ascii="Arial" w:eastAsia="Times New Roman" w:hAnsi="Arial" w:cs="Arial"/>
          <w:sz w:val="28"/>
          <w:szCs w:val="28"/>
        </w:rPr>
      </w:pPr>
      <w:r w:rsidRPr="00C11C0C">
        <w:rPr>
          <w:rFonts w:ascii="Arial" w:eastAsia="Times New Roman" w:hAnsi="Arial" w:cs="Arial"/>
          <w:bCs/>
          <w:sz w:val="28"/>
          <w:szCs w:val="28"/>
        </w:rPr>
        <w:t>Washington, D.C.</w:t>
      </w:r>
      <w:r w:rsidRPr="00C11C0C">
        <w:rPr>
          <w:rFonts w:ascii="Arial" w:eastAsia="Times New Roman" w:hAnsi="Arial" w:cs="Arial"/>
          <w:sz w:val="28"/>
          <w:szCs w:val="28"/>
        </w:rPr>
        <w:t xml:space="preserve"> – Today, U.S. Rep. Ed Royce (R-CA), Chairman of the House Foreign Affairs Committee, issued the following statement on the report issued by the United Nations Independent Commission of Inquiry on the 2014 Gaza Conflict:</w:t>
      </w:r>
    </w:p>
    <w:p w:rsidR="00C11C0C" w:rsidRPr="00C11C0C" w:rsidRDefault="00C11C0C" w:rsidP="00C11C0C">
      <w:pPr>
        <w:shd w:val="clear" w:color="auto" w:fill="FFFFFF"/>
        <w:spacing w:after="300" w:line="360" w:lineRule="atLeast"/>
        <w:jc w:val="left"/>
        <w:rPr>
          <w:rFonts w:ascii="Arial" w:eastAsia="Times New Roman" w:hAnsi="Arial" w:cs="Arial"/>
          <w:sz w:val="28"/>
          <w:szCs w:val="28"/>
        </w:rPr>
      </w:pPr>
      <w:r w:rsidRPr="00C11C0C">
        <w:rPr>
          <w:rFonts w:ascii="Arial" w:eastAsia="Times New Roman" w:hAnsi="Arial" w:cs="Arial"/>
          <w:i/>
          <w:iCs/>
          <w:sz w:val="28"/>
          <w:szCs w:val="28"/>
        </w:rPr>
        <w:t>“While Israel is confronting the deadly hostility of Iran, Hezbollah and Hamas, this fatally flawed and biased report is the latest evidence that Israel is also confronting a global attempt to de-legitimatize its very existence, especially its inherent right to self-defense.  This report illustrates the failings of the UN Human Rights Council.  There is no moral equivalence between Israel and Hamas.  Israel tries to avoid civilian casualties while Hamas revels in them.  Moving forward, the Administration and Congress must actively work together and with our allies to defeat referrals of the conclusions of this report to other international bodies and tribunals.  Failing to do so would create a new arena of confrontation that would further damage prospects for peace.”</w:t>
      </w:r>
    </w:p>
    <w:p w:rsidR="00C11C0C" w:rsidRDefault="00C11C0C"/>
    <w:sectPr w:rsidR="00C11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0C"/>
    <w:rsid w:val="00C11C0C"/>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7B26A-43A3-491A-9111-CB225F20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C0C"/>
    <w:rPr>
      <w:color w:val="0563C1" w:themeColor="hyperlink"/>
      <w:u w:val="single"/>
    </w:rPr>
  </w:style>
  <w:style w:type="character" w:styleId="Strong">
    <w:name w:val="Strong"/>
    <w:basedOn w:val="DefaultParagraphFont"/>
    <w:uiPriority w:val="22"/>
    <w:qFormat/>
    <w:rsid w:val="00C11C0C"/>
    <w:rPr>
      <w:b/>
      <w:bCs/>
    </w:rPr>
  </w:style>
  <w:style w:type="character" w:styleId="Emphasis">
    <w:name w:val="Emphasis"/>
    <w:basedOn w:val="DefaultParagraphFont"/>
    <w:uiPriority w:val="20"/>
    <w:qFormat/>
    <w:rsid w:val="00C11C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03347">
      <w:bodyDiv w:val="1"/>
      <w:marLeft w:val="0"/>
      <w:marRight w:val="0"/>
      <w:marTop w:val="0"/>
      <w:marBottom w:val="0"/>
      <w:divBdr>
        <w:top w:val="none" w:sz="0" w:space="0" w:color="auto"/>
        <w:left w:val="none" w:sz="0" w:space="0" w:color="auto"/>
        <w:bottom w:val="none" w:sz="0" w:space="0" w:color="auto"/>
        <w:right w:val="none" w:sz="0" w:space="0" w:color="auto"/>
      </w:divBdr>
      <w:divsChild>
        <w:div w:id="1194922507">
          <w:marLeft w:val="0"/>
          <w:marRight w:val="0"/>
          <w:marTop w:val="0"/>
          <w:marBottom w:val="0"/>
          <w:divBdr>
            <w:top w:val="none" w:sz="0" w:space="0" w:color="auto"/>
            <w:left w:val="none" w:sz="0" w:space="0" w:color="auto"/>
            <w:bottom w:val="none" w:sz="0" w:space="0" w:color="auto"/>
            <w:right w:val="none" w:sz="0" w:space="0" w:color="auto"/>
          </w:divBdr>
          <w:divsChild>
            <w:div w:id="1538200516">
              <w:marLeft w:val="0"/>
              <w:marRight w:val="0"/>
              <w:marTop w:val="0"/>
              <w:marBottom w:val="0"/>
              <w:divBdr>
                <w:top w:val="none" w:sz="0" w:space="0" w:color="auto"/>
                <w:left w:val="none" w:sz="0" w:space="0" w:color="auto"/>
                <w:bottom w:val="none" w:sz="0" w:space="0" w:color="auto"/>
                <w:right w:val="none" w:sz="0" w:space="0" w:color="auto"/>
              </w:divBdr>
              <w:divsChild>
                <w:div w:id="775714833">
                  <w:marLeft w:val="0"/>
                  <w:marRight w:val="0"/>
                  <w:marTop w:val="0"/>
                  <w:marBottom w:val="0"/>
                  <w:divBdr>
                    <w:top w:val="none" w:sz="0" w:space="0" w:color="auto"/>
                    <w:left w:val="none" w:sz="0" w:space="0" w:color="auto"/>
                    <w:bottom w:val="none" w:sz="0" w:space="0" w:color="auto"/>
                    <w:right w:val="none" w:sz="0" w:space="0" w:color="auto"/>
                  </w:divBdr>
                  <w:divsChild>
                    <w:div w:id="862327113">
                      <w:marLeft w:val="0"/>
                      <w:marRight w:val="0"/>
                      <w:marTop w:val="0"/>
                      <w:marBottom w:val="225"/>
                      <w:divBdr>
                        <w:top w:val="none" w:sz="0" w:space="0" w:color="auto"/>
                        <w:left w:val="none" w:sz="0" w:space="0" w:color="auto"/>
                        <w:bottom w:val="none" w:sz="0" w:space="0" w:color="auto"/>
                        <w:right w:val="none" w:sz="0" w:space="0" w:color="auto"/>
                      </w:divBdr>
                      <w:divsChild>
                        <w:div w:id="472017545">
                          <w:marLeft w:val="0"/>
                          <w:marRight w:val="0"/>
                          <w:marTop w:val="0"/>
                          <w:marBottom w:val="0"/>
                          <w:divBdr>
                            <w:top w:val="none" w:sz="0" w:space="0" w:color="auto"/>
                            <w:left w:val="none" w:sz="0" w:space="0" w:color="auto"/>
                            <w:bottom w:val="none" w:sz="0" w:space="0" w:color="auto"/>
                            <w:right w:val="none" w:sz="0" w:space="0" w:color="auto"/>
                          </w:divBdr>
                          <w:divsChild>
                            <w:div w:id="409929549">
                              <w:marLeft w:val="0"/>
                              <w:marRight w:val="0"/>
                              <w:marTop w:val="0"/>
                              <w:marBottom w:val="0"/>
                              <w:divBdr>
                                <w:top w:val="none" w:sz="0" w:space="0" w:color="auto"/>
                                <w:left w:val="none" w:sz="0" w:space="0" w:color="auto"/>
                                <w:bottom w:val="none" w:sz="0" w:space="0" w:color="auto"/>
                                <w:right w:val="none" w:sz="0" w:space="0" w:color="auto"/>
                              </w:divBdr>
                              <w:divsChild>
                                <w:div w:id="1557935922">
                                  <w:marLeft w:val="0"/>
                                  <w:marRight w:val="0"/>
                                  <w:marTop w:val="0"/>
                                  <w:marBottom w:val="0"/>
                                  <w:divBdr>
                                    <w:top w:val="none" w:sz="0" w:space="0" w:color="auto"/>
                                    <w:left w:val="none" w:sz="0" w:space="0" w:color="auto"/>
                                    <w:bottom w:val="none" w:sz="0" w:space="0" w:color="auto"/>
                                    <w:right w:val="none" w:sz="0" w:space="0" w:color="auto"/>
                                  </w:divBdr>
                                  <w:divsChild>
                                    <w:div w:id="1091699071">
                                      <w:marLeft w:val="0"/>
                                      <w:marRight w:val="0"/>
                                      <w:marTop w:val="0"/>
                                      <w:marBottom w:val="0"/>
                                      <w:divBdr>
                                        <w:top w:val="none" w:sz="0" w:space="0" w:color="auto"/>
                                        <w:left w:val="none" w:sz="0" w:space="0" w:color="auto"/>
                                        <w:bottom w:val="none" w:sz="0" w:space="0" w:color="auto"/>
                                        <w:right w:val="none" w:sz="0" w:space="0" w:color="auto"/>
                                      </w:divBdr>
                                      <w:divsChild>
                                        <w:div w:id="692606960">
                                          <w:marLeft w:val="0"/>
                                          <w:marRight w:val="0"/>
                                          <w:marTop w:val="0"/>
                                          <w:marBottom w:val="0"/>
                                          <w:divBdr>
                                            <w:top w:val="none" w:sz="0" w:space="0" w:color="auto"/>
                                            <w:left w:val="none" w:sz="0" w:space="0" w:color="auto"/>
                                            <w:bottom w:val="none" w:sz="0" w:space="0" w:color="auto"/>
                                            <w:right w:val="none" w:sz="0" w:space="0" w:color="auto"/>
                                          </w:divBdr>
                                          <w:divsChild>
                                            <w:div w:id="1432121149">
                                              <w:marLeft w:val="0"/>
                                              <w:marRight w:val="0"/>
                                              <w:marTop w:val="0"/>
                                              <w:marBottom w:val="0"/>
                                              <w:divBdr>
                                                <w:top w:val="none" w:sz="0" w:space="0" w:color="auto"/>
                                                <w:left w:val="none" w:sz="0" w:space="0" w:color="auto"/>
                                                <w:bottom w:val="none" w:sz="0" w:space="0" w:color="auto"/>
                                                <w:right w:val="none" w:sz="0" w:space="0" w:color="auto"/>
                                              </w:divBdr>
                                              <w:divsChild>
                                                <w:div w:id="1882402134">
                                                  <w:marLeft w:val="0"/>
                                                  <w:marRight w:val="0"/>
                                                  <w:marTop w:val="0"/>
                                                  <w:marBottom w:val="0"/>
                                                  <w:divBdr>
                                                    <w:top w:val="none" w:sz="0" w:space="0" w:color="auto"/>
                                                    <w:left w:val="none" w:sz="0" w:space="0" w:color="auto"/>
                                                    <w:bottom w:val="none" w:sz="0" w:space="0" w:color="auto"/>
                                                    <w:right w:val="none" w:sz="0" w:space="0" w:color="auto"/>
                                                  </w:divBdr>
                                                  <w:divsChild>
                                                    <w:div w:id="614680711">
                                                      <w:marLeft w:val="0"/>
                                                      <w:marRight w:val="0"/>
                                                      <w:marTop w:val="0"/>
                                                      <w:marBottom w:val="0"/>
                                                      <w:divBdr>
                                                        <w:top w:val="none" w:sz="0" w:space="0" w:color="auto"/>
                                                        <w:left w:val="none" w:sz="0" w:space="0" w:color="auto"/>
                                                        <w:bottom w:val="none" w:sz="0" w:space="0" w:color="auto"/>
                                                        <w:right w:val="none" w:sz="0" w:space="0" w:color="auto"/>
                                                      </w:divBdr>
                                                      <w:divsChild>
                                                        <w:div w:id="168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eignaffairs.house.gov/press-release/chairman-royce-statement-report-un-s-commission-inquiry-gaza-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2015-06-23T13:37:00Z</dcterms:created>
  <dcterms:modified xsi:type="dcterms:W3CDTF">2015-06-23T13:39:00Z</dcterms:modified>
</cp:coreProperties>
</file>