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5F2C6" w14:textId="77777777" w:rsidR="00323D5D" w:rsidRPr="00323D5D" w:rsidRDefault="00323D5D" w:rsidP="00323D5D">
      <w:pPr>
        <w:spacing w:before="100" w:beforeAutospacing="1" w:after="100" w:afterAutospacing="1" w:line="240" w:lineRule="auto"/>
        <w:jc w:val="left"/>
        <w:outlineLvl w:val="1"/>
        <w:rPr>
          <w:rFonts w:ascii="Times New Roman" w:eastAsia="Times New Roman" w:hAnsi="Times New Roman" w:cs="Times New Roman"/>
          <w:bCs/>
          <w:sz w:val="44"/>
          <w:szCs w:val="44"/>
        </w:rPr>
      </w:pPr>
      <w:r w:rsidRPr="00323D5D">
        <w:rPr>
          <w:rFonts w:ascii="Times New Roman" w:eastAsia="Times New Roman" w:hAnsi="Times New Roman" w:cs="Times New Roman"/>
          <w:bCs/>
          <w:sz w:val="44"/>
          <w:szCs w:val="44"/>
        </w:rPr>
        <w:t>An Exercise in Extreme Moral Relativism: The UNHRC Gaza Reports</w:t>
      </w:r>
    </w:p>
    <w:p w14:paraId="132F770A" w14:textId="77777777" w:rsidR="00323D5D" w:rsidRPr="00323D5D" w:rsidRDefault="00323D5D" w:rsidP="00323D5D">
      <w:pPr>
        <w:spacing w:after="0" w:line="240" w:lineRule="auto"/>
        <w:rPr>
          <w:rFonts w:ascii="Times New Roman" w:hAnsi="Times New Roman" w:cs="Times New Roman"/>
          <w:sz w:val="24"/>
          <w:szCs w:val="24"/>
        </w:rPr>
      </w:pPr>
      <w:r w:rsidRPr="00323D5D">
        <w:rPr>
          <w:rFonts w:ascii="Times New Roman" w:hAnsi="Times New Roman" w:cs="Times New Roman"/>
          <w:sz w:val="24"/>
          <w:szCs w:val="24"/>
        </w:rPr>
        <w:t>September 4, 2015</w:t>
      </w:r>
    </w:p>
    <w:p w14:paraId="1EF67DB2" w14:textId="77777777" w:rsidR="00323D5D" w:rsidRPr="00323D5D" w:rsidRDefault="00323D5D" w:rsidP="00323D5D">
      <w:pPr>
        <w:spacing w:after="0" w:line="240" w:lineRule="auto"/>
        <w:rPr>
          <w:rFonts w:ascii="Times New Roman" w:hAnsi="Times New Roman" w:cs="Times New Roman"/>
          <w:sz w:val="24"/>
          <w:szCs w:val="24"/>
        </w:rPr>
      </w:pPr>
      <w:r w:rsidRPr="00323D5D">
        <w:rPr>
          <w:rFonts w:ascii="Times New Roman" w:hAnsi="Times New Roman" w:cs="Times New Roman"/>
          <w:sz w:val="24"/>
          <w:szCs w:val="24"/>
        </w:rPr>
        <w:t xml:space="preserve">By Dr. </w:t>
      </w:r>
      <w:proofErr w:type="spellStart"/>
      <w:r w:rsidRPr="00323D5D">
        <w:rPr>
          <w:rFonts w:ascii="Times New Roman" w:hAnsi="Times New Roman" w:cs="Times New Roman"/>
          <w:sz w:val="24"/>
          <w:szCs w:val="24"/>
        </w:rPr>
        <w:t>Manfeld</w:t>
      </w:r>
      <w:proofErr w:type="spellEnd"/>
      <w:r w:rsidRPr="00323D5D">
        <w:rPr>
          <w:rFonts w:ascii="Times New Roman" w:hAnsi="Times New Roman" w:cs="Times New Roman"/>
          <w:sz w:val="24"/>
          <w:szCs w:val="24"/>
        </w:rPr>
        <w:t xml:space="preserve"> </w:t>
      </w:r>
      <w:proofErr w:type="spellStart"/>
      <w:r w:rsidRPr="00323D5D">
        <w:rPr>
          <w:rFonts w:ascii="Times New Roman" w:hAnsi="Times New Roman" w:cs="Times New Roman"/>
          <w:sz w:val="24"/>
          <w:szCs w:val="24"/>
        </w:rPr>
        <w:t>Gerstenfeld</w:t>
      </w:r>
      <w:proofErr w:type="spellEnd"/>
      <w:r w:rsidRPr="00323D5D">
        <w:rPr>
          <w:rFonts w:ascii="Times New Roman" w:hAnsi="Times New Roman" w:cs="Times New Roman"/>
          <w:sz w:val="24"/>
          <w:szCs w:val="24"/>
        </w:rPr>
        <w:t xml:space="preserve"> and Jamie </w:t>
      </w:r>
      <w:proofErr w:type="spellStart"/>
      <w:r w:rsidRPr="00323D5D">
        <w:rPr>
          <w:rFonts w:ascii="Times New Roman" w:hAnsi="Times New Roman" w:cs="Times New Roman"/>
          <w:sz w:val="24"/>
          <w:szCs w:val="24"/>
        </w:rPr>
        <w:t>Berk</w:t>
      </w:r>
      <w:proofErr w:type="spellEnd"/>
    </w:p>
    <w:p w14:paraId="7140DEF1" w14:textId="77777777" w:rsidR="00C8741F" w:rsidRPr="00323D5D" w:rsidRDefault="00323D5D" w:rsidP="00323D5D">
      <w:pPr>
        <w:spacing w:after="0" w:line="240" w:lineRule="auto"/>
        <w:rPr>
          <w:rFonts w:ascii="Times New Roman" w:hAnsi="Times New Roman" w:cs="Times New Roman"/>
          <w:sz w:val="24"/>
          <w:szCs w:val="24"/>
        </w:rPr>
      </w:pPr>
      <w:proofErr w:type="spellStart"/>
      <w:r w:rsidRPr="00323D5D">
        <w:rPr>
          <w:rFonts w:ascii="Times New Roman" w:hAnsi="Times New Roman" w:cs="Times New Roman"/>
          <w:sz w:val="24"/>
          <w:szCs w:val="24"/>
        </w:rPr>
        <w:t>Arutz</w:t>
      </w:r>
      <w:proofErr w:type="spellEnd"/>
      <w:r w:rsidRPr="00323D5D">
        <w:rPr>
          <w:rFonts w:ascii="Times New Roman" w:hAnsi="Times New Roman" w:cs="Times New Roman"/>
          <w:sz w:val="24"/>
          <w:szCs w:val="24"/>
        </w:rPr>
        <w:t xml:space="preserve"> </w:t>
      </w:r>
      <w:proofErr w:type="spellStart"/>
      <w:r w:rsidRPr="00323D5D">
        <w:rPr>
          <w:rFonts w:ascii="Times New Roman" w:hAnsi="Times New Roman" w:cs="Times New Roman"/>
          <w:sz w:val="24"/>
          <w:szCs w:val="24"/>
        </w:rPr>
        <w:t>Sheva</w:t>
      </w:r>
      <w:proofErr w:type="spellEnd"/>
    </w:p>
    <w:p w14:paraId="60B5B61D" w14:textId="77777777" w:rsidR="00323D5D" w:rsidRPr="00323D5D" w:rsidRDefault="00323D5D" w:rsidP="00323D5D">
      <w:pPr>
        <w:spacing w:after="0" w:line="240" w:lineRule="auto"/>
        <w:rPr>
          <w:rFonts w:ascii="Times New Roman" w:hAnsi="Times New Roman" w:cs="Times New Roman"/>
          <w:sz w:val="24"/>
          <w:szCs w:val="24"/>
        </w:rPr>
      </w:pPr>
      <w:hyperlink r:id="rId4" w:history="1">
        <w:r w:rsidRPr="00323D5D">
          <w:rPr>
            <w:rStyle w:val="Hyperlink"/>
            <w:rFonts w:ascii="Times New Roman" w:hAnsi="Times New Roman" w:cs="Times New Roman"/>
            <w:color w:val="auto"/>
            <w:sz w:val="24"/>
            <w:szCs w:val="24"/>
          </w:rPr>
          <w:t>http://www.israelnationalnews.com/Articles/Article.aspx/17504#.VemWIpezljs</w:t>
        </w:r>
      </w:hyperlink>
    </w:p>
    <w:p w14:paraId="36186C66" w14:textId="77777777" w:rsidR="00323D5D" w:rsidRPr="00323D5D" w:rsidRDefault="00323D5D" w:rsidP="00323D5D">
      <w:pPr>
        <w:pStyle w:val="NormalWeb"/>
      </w:pPr>
      <w:r w:rsidRPr="00323D5D">
        <w:t>Moral relativism, or the concept that “there is no universally valid morality, only moralities plural, each having merely local validity,</w:t>
      </w:r>
      <w:proofErr w:type="gramStart"/>
      <w:r w:rsidRPr="00323D5D">
        <w:t>”</w:t>
      </w:r>
      <w:proofErr w:type="gramEnd"/>
      <w:r w:rsidRPr="00323D5D">
        <w:fldChar w:fldCharType="begin"/>
      </w:r>
      <w:r w:rsidRPr="00323D5D">
        <w:instrText xml:space="preserve"> HYPERLINK "http://www.israelnationalnews.com/Articles/Article.aspx/17504" \l "_ftn1" </w:instrText>
      </w:r>
      <w:r w:rsidRPr="00323D5D">
        <w:fldChar w:fldCharType="separate"/>
      </w:r>
      <w:r w:rsidRPr="00323D5D">
        <w:rPr>
          <w:rStyle w:val="Hyperlink"/>
          <w:color w:val="auto"/>
        </w:rPr>
        <w:t>[1]</w:t>
      </w:r>
      <w:r w:rsidRPr="00323D5D">
        <w:fldChar w:fldCharType="end"/>
      </w:r>
      <w:r w:rsidRPr="00323D5D">
        <w:t xml:space="preserve"> is a fallacy that is frequently used across the United Nations and its agencies. Israel is in particular targeted.</w:t>
      </w:r>
      <w:hyperlink r:id="rId5" w:anchor="_ftn2" w:history="1">
        <w:r w:rsidRPr="00323D5D">
          <w:rPr>
            <w:rStyle w:val="Hyperlink"/>
            <w:color w:val="auto"/>
          </w:rPr>
          <w:t>[2]</w:t>
        </w:r>
      </w:hyperlink>
      <w:r w:rsidRPr="00323D5D">
        <w:t xml:space="preserve">  Originally, the United Nations introduced universal values in the Universal Declaration of Human Rights.</w:t>
      </w:r>
      <w:hyperlink r:id="rId6" w:anchor="_ftn3" w:history="1">
        <w:r w:rsidRPr="00323D5D">
          <w:rPr>
            <w:rStyle w:val="Hyperlink"/>
            <w:color w:val="auto"/>
          </w:rPr>
          <w:t>[3]</w:t>
        </w:r>
      </w:hyperlink>
      <w:r w:rsidRPr="00323D5D">
        <w:t xml:space="preserve"> This was a reaction to the wides</w:t>
      </w:r>
      <w:bookmarkStart w:id="0" w:name="_GoBack"/>
      <w:bookmarkEnd w:id="0"/>
      <w:r w:rsidRPr="00323D5D">
        <w:t>pread acceptance of Nazi genocidal values, something which could only be defended through moral relativism.</w:t>
      </w:r>
    </w:p>
    <w:p w14:paraId="6203542D" w14:textId="77777777" w:rsidR="00323D5D" w:rsidRPr="00323D5D" w:rsidRDefault="00323D5D" w:rsidP="00323D5D">
      <w:pPr>
        <w:pStyle w:val="NormalWeb"/>
      </w:pPr>
      <w:r w:rsidRPr="00323D5D">
        <w:t>An extreme example of the moral relativism enacted by UN agencies are the UN Human Rights Council reports on violent conflicts in Gaza. The first was the Goldstone Report, chaired by South African human rights judge Richard Goldstone, on Israel’s 2008-2009 Operation Cast Lead. This report, which Israel refused to contribute to</w:t>
      </w:r>
      <w:proofErr w:type="gramStart"/>
      <w:r w:rsidRPr="00323D5D">
        <w:t>,</w:t>
      </w:r>
      <w:proofErr w:type="gramEnd"/>
      <w:hyperlink r:id="rId7" w:anchor="_ftn4" w:history="1">
        <w:r w:rsidRPr="00323D5D">
          <w:rPr>
            <w:rStyle w:val="Hyperlink"/>
            <w:color w:val="auto"/>
          </w:rPr>
          <w:t>[4]</w:t>
        </w:r>
      </w:hyperlink>
      <w:r w:rsidRPr="00323D5D">
        <w:t xml:space="preserve"> was largely compiled from Gazan testimonies taken at Gaza City’s UNRWA headquarters. These sources were chosen despite the existence of much additional information which would have proved insightful.</w:t>
      </w:r>
    </w:p>
    <w:p w14:paraId="34C13B5C" w14:textId="77777777" w:rsidR="00323D5D" w:rsidRPr="00323D5D" w:rsidRDefault="00323D5D" w:rsidP="00323D5D">
      <w:pPr>
        <w:pStyle w:val="NormalWeb"/>
      </w:pPr>
      <w:r w:rsidRPr="00323D5D">
        <w:t>Moral relativism is blatantly evident in the choice of information used. The 452 page report makes no mention, for example, of the Hamas charter, which calls for genocide against the Jews.</w:t>
      </w:r>
      <w:hyperlink r:id="rId8" w:anchor="_ftn5" w:history="1">
        <w:r w:rsidRPr="00323D5D">
          <w:rPr>
            <w:rStyle w:val="Hyperlink"/>
            <w:color w:val="auto"/>
          </w:rPr>
          <w:t>[5]</w:t>
        </w:r>
      </w:hyperlink>
      <w:r w:rsidRPr="00323D5D">
        <w:t xml:space="preserve"> The report also fails to mention Hamas’s use of private houses and civilian areas as rocket-launching pads, or its deliberate attacks on Israeli civilians.</w:t>
      </w:r>
      <w:hyperlink r:id="rId9" w:anchor="_ftn6" w:history="1">
        <w:r w:rsidRPr="00323D5D">
          <w:rPr>
            <w:rStyle w:val="Hyperlink"/>
            <w:color w:val="auto"/>
          </w:rPr>
          <w:t>[6]</w:t>
        </w:r>
      </w:hyperlink>
      <w:r w:rsidRPr="00323D5D">
        <w:t xml:space="preserve"> The report’s authors even disputed a statement made by </w:t>
      </w:r>
      <w:proofErr w:type="spellStart"/>
      <w:r w:rsidRPr="00323D5D">
        <w:t>Fathi</w:t>
      </w:r>
      <w:proofErr w:type="spellEnd"/>
      <w:r w:rsidRPr="00323D5D">
        <w:t xml:space="preserve"> </w:t>
      </w:r>
      <w:proofErr w:type="spellStart"/>
      <w:r w:rsidRPr="00323D5D">
        <w:t>Hammad</w:t>
      </w:r>
      <w:proofErr w:type="spellEnd"/>
      <w:r w:rsidRPr="00323D5D">
        <w:t xml:space="preserve">, a high-ranking Hamas member, a month after the operation ended. </w:t>
      </w:r>
      <w:proofErr w:type="spellStart"/>
      <w:r w:rsidRPr="00323D5D">
        <w:t>Hammad</w:t>
      </w:r>
      <w:proofErr w:type="spellEnd"/>
      <w:r w:rsidRPr="00323D5D">
        <w:t xml:space="preserve"> described Hamas’ strategy as “death seeking” in its use of civilians as human shields, and of women and children, in particular, to fight “the Zionist bombing machine.”</w:t>
      </w:r>
      <w:hyperlink r:id="rId10" w:anchor="_ftn7" w:history="1">
        <w:r w:rsidRPr="00323D5D">
          <w:rPr>
            <w:rStyle w:val="Hyperlink"/>
            <w:color w:val="auto"/>
          </w:rPr>
          <w:t>[7]</w:t>
        </w:r>
      </w:hyperlink>
    </w:p>
    <w:p w14:paraId="740EF94F" w14:textId="77777777" w:rsidR="00323D5D" w:rsidRPr="00323D5D" w:rsidRDefault="00323D5D" w:rsidP="00323D5D">
      <w:pPr>
        <w:pStyle w:val="NormalWeb"/>
      </w:pPr>
      <w:r w:rsidRPr="00323D5D">
        <w:t xml:space="preserve">The </w:t>
      </w:r>
      <w:r w:rsidRPr="00323D5D">
        <w:rPr>
          <w:rStyle w:val="ilad"/>
        </w:rPr>
        <w:t>commission</w:t>
      </w:r>
      <w:r w:rsidRPr="00323D5D">
        <w:t xml:space="preserve"> wrote that this was not indicative of Hamas strategy and that </w:t>
      </w:r>
      <w:proofErr w:type="spellStart"/>
      <w:r w:rsidRPr="00323D5D">
        <w:t>Hammad’s</w:t>
      </w:r>
      <w:proofErr w:type="spellEnd"/>
      <w:r w:rsidRPr="00323D5D">
        <w:t xml:space="preserve"> words did not “constitute evidence” of the use of human shields.</w:t>
      </w:r>
    </w:p>
    <w:p w14:paraId="7D7F3113" w14:textId="77777777" w:rsidR="00323D5D" w:rsidRPr="00323D5D" w:rsidRDefault="00323D5D" w:rsidP="00323D5D">
      <w:pPr>
        <w:pStyle w:val="NormalWeb"/>
      </w:pPr>
      <w:r w:rsidRPr="00323D5D">
        <w:t xml:space="preserve">Only twenty pages of the report </w:t>
      </w:r>
      <w:r w:rsidRPr="00323D5D">
        <w:rPr>
          <w:rStyle w:val="ilad"/>
        </w:rPr>
        <w:t>focus</w:t>
      </w:r>
      <w:r w:rsidRPr="00323D5D">
        <w:t xml:space="preserve"> on Hamas attacks on Israeli civilians. Eight of these deal with rocket attacks on unrecognized Bedouin and recognized “Palestinian” villages in Southern Israel. The report claims that the dearth of information on Hamas’ targeting of Israeli civilians was due to Israel’s government’s refusal to cooperate with the investigation.</w:t>
      </w:r>
      <w:hyperlink r:id="rId11" w:anchor="_ftn8" w:history="1">
        <w:r w:rsidRPr="00323D5D">
          <w:rPr>
            <w:rStyle w:val="Hyperlink"/>
            <w:color w:val="auto"/>
          </w:rPr>
          <w:t>[8]</w:t>
        </w:r>
      </w:hyperlink>
      <w:r w:rsidRPr="00323D5D">
        <w:t xml:space="preserve"> However, this did not prevent the commission from exhaustive descriptions of Israel’s treatment of Arab-Israeli citizens.</w:t>
      </w:r>
    </w:p>
    <w:p w14:paraId="138A9CF7" w14:textId="77777777" w:rsidR="00323D5D" w:rsidRPr="00323D5D" w:rsidRDefault="00323D5D" w:rsidP="00323D5D">
      <w:pPr>
        <w:pStyle w:val="NormalWeb"/>
      </w:pPr>
      <w:r w:rsidRPr="00323D5D">
        <w:t xml:space="preserve">Former Israeli president Shimon Peres pointed out the moral relativism in the Goldstone Report. He said that it “makes a mockery of history" and "does not distinguish between the aggressor and the defender. War is crime and the attacker is the criminal. The defender has no choice. The </w:t>
      </w:r>
      <w:r w:rsidRPr="00323D5D">
        <w:lastRenderedPageBreak/>
        <w:t>Hamas terror organization is the one who started the war and also carried out other awful crimes. Hamas has used terrorism for years against Israeli children."</w:t>
      </w:r>
      <w:hyperlink r:id="rId12" w:anchor="_ftn9" w:history="1">
        <w:r w:rsidRPr="00323D5D">
          <w:rPr>
            <w:rStyle w:val="Hyperlink"/>
            <w:color w:val="auto"/>
          </w:rPr>
          <w:t>[9]</w:t>
        </w:r>
      </w:hyperlink>
    </w:p>
    <w:p w14:paraId="47B47B55" w14:textId="77777777" w:rsidR="00323D5D" w:rsidRPr="00323D5D" w:rsidRDefault="00323D5D" w:rsidP="00323D5D">
      <w:pPr>
        <w:pStyle w:val="NormalWeb"/>
      </w:pPr>
      <w:r w:rsidRPr="00323D5D">
        <w:t xml:space="preserve">In 2011, Goldstone wrote that he regretted the report’s demonization of Israel. He also admitted that the mission could have investigated the </w:t>
      </w:r>
      <w:r w:rsidRPr="00323D5D">
        <w:rPr>
          <w:rFonts w:eastAsiaTheme="minorHAnsi"/>
        </w:rPr>
        <w:t>situation more thoroughly.</w:t>
      </w:r>
      <w:hyperlink r:id="rId13" w:anchor="_ftn10" w:history="1">
        <w:r w:rsidRPr="00323D5D">
          <w:rPr>
            <w:rFonts w:eastAsiaTheme="minorHAnsi"/>
            <w:u w:val="single"/>
          </w:rPr>
          <w:t>[10]</w:t>
        </w:r>
      </w:hyperlink>
      <w:r w:rsidRPr="00323D5D">
        <w:rPr>
          <w:rFonts w:eastAsiaTheme="minorHAnsi"/>
        </w:rPr>
        <w:t xml:space="preserve"> He did not refer however to the report’s structural moral relativism, something that, as a judge with considerable experience, he must have realized while it was written.</w:t>
      </w:r>
    </w:p>
    <w:p w14:paraId="71EC5048"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r w:rsidRPr="00323D5D">
        <w:rPr>
          <w:rFonts w:ascii="Times New Roman" w:eastAsia="Times New Roman" w:hAnsi="Times New Roman" w:cs="Times New Roman"/>
          <w:sz w:val="24"/>
          <w:szCs w:val="24"/>
        </w:rPr>
        <w:t>Moral relativism was also frequently employed in the 2015 UNHRC-commissioned report on the 2014 Protective Edge campaign in Gaza. The statement announcing the commission proclaimed its purpose was “…to investigate all violations of international humanitarian law and international human rights law in the occupied Palestinian territory, including East Jerusalem, particularly in the occupied Gaza Strip, in the context of the military operations conducted since 13 June 2014, whether before, during or after.”</w:t>
      </w:r>
      <w:hyperlink r:id="rId14" w:anchor="_ftn11" w:history="1">
        <w:r w:rsidRPr="00323D5D">
          <w:rPr>
            <w:rFonts w:ascii="Times New Roman" w:eastAsia="Times New Roman" w:hAnsi="Times New Roman" w:cs="Times New Roman"/>
            <w:sz w:val="24"/>
            <w:szCs w:val="24"/>
            <w:u w:val="single"/>
          </w:rPr>
          <w:t>[11]</w:t>
        </w:r>
      </w:hyperlink>
      <w:r w:rsidRPr="00323D5D">
        <w:rPr>
          <w:rFonts w:ascii="Times New Roman" w:eastAsia="Times New Roman" w:hAnsi="Times New Roman" w:cs="Times New Roman"/>
          <w:sz w:val="24"/>
          <w:szCs w:val="24"/>
        </w:rPr>
        <w:t xml:space="preserve"> It was clear that the compilers of this report intended to judge Israel by a different moral standard than the Palestinians, as Hamas crimes against both Israelis and its own people were not to be investigated.</w:t>
      </w:r>
    </w:p>
    <w:p w14:paraId="11D0C349"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r w:rsidRPr="00323D5D">
        <w:rPr>
          <w:rFonts w:ascii="Times New Roman" w:eastAsia="Times New Roman" w:hAnsi="Times New Roman" w:cs="Times New Roman"/>
          <w:sz w:val="24"/>
          <w:szCs w:val="24"/>
        </w:rPr>
        <w:t>Initially the commission was headed by William Schabas, a human rights attorney who in the past called on Prime Minister Benjamin Netanyahu to stand trial for war crimes at the International Criminal Court. According to Netanyahu, “The committee chairman has already decided that Hamas is not a terrorist organization. Therefore, they have nothing to look for here. They should visit Damascus, Baghdad and Tripoli. They should go see ISIS, the Syrian army and Hamas. There they will find war crimes, not here.”</w:t>
      </w:r>
      <w:hyperlink r:id="rId15" w:anchor="_ftn12" w:history="1">
        <w:r w:rsidRPr="00323D5D">
          <w:rPr>
            <w:rFonts w:ascii="Times New Roman" w:eastAsia="Times New Roman" w:hAnsi="Times New Roman" w:cs="Times New Roman"/>
            <w:sz w:val="24"/>
            <w:szCs w:val="24"/>
            <w:u w:val="single"/>
          </w:rPr>
          <w:t>[12]</w:t>
        </w:r>
      </w:hyperlink>
    </w:p>
    <w:p w14:paraId="10E07501"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r w:rsidRPr="00323D5D">
        <w:rPr>
          <w:rFonts w:ascii="Times New Roman" w:eastAsia="Times New Roman" w:hAnsi="Times New Roman" w:cs="Times New Roman"/>
          <w:sz w:val="24"/>
          <w:szCs w:val="24"/>
        </w:rPr>
        <w:t>This report, released in June 2015, begins with the demonization of Israel for not cooperating with UN researchers. The report goes on to thank “The State of Palestine” for its cooperation. Israel is not once termed “The State of Israel” in the report, but the term “The State of Palestine” is consistently used throughout, although both are recognized as states by the UN. The commission also thanks “authorities” in Gaza for their cooperation. As Gaza is ruled by Hamas terrorists, these “authorities” were likely Hamas members.</w:t>
      </w:r>
    </w:p>
    <w:p w14:paraId="0DF564A8"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r w:rsidRPr="00323D5D">
        <w:rPr>
          <w:rFonts w:ascii="Times New Roman" w:eastAsia="Times New Roman" w:hAnsi="Times New Roman" w:cs="Times New Roman"/>
          <w:sz w:val="24"/>
          <w:szCs w:val="24"/>
        </w:rPr>
        <w:t>The report blames Israel, without evidence, for intentionally planning attacks during Ramadan meals or when families were asleep. It also implies that despite Israel’s warnings, it is still Israel’s fault that Palestinians did not leave their homes in time, because they did not understand those warnings - the “knock on the roof” advance warning of an imminent strike on a building, or the leaflets and radio announcements in Arabic telling Gazans to evacuate. This in addition to Israel’s not taking into consideration “the fact that many places considered safe were already overcrowded; and the poor conditions in shelters, which themselves came under attack.”</w:t>
      </w:r>
      <w:hyperlink r:id="rId16" w:anchor="_ftn13" w:history="1">
        <w:r w:rsidRPr="00323D5D">
          <w:rPr>
            <w:rFonts w:ascii="Times New Roman" w:eastAsia="Times New Roman" w:hAnsi="Times New Roman" w:cs="Times New Roman"/>
            <w:sz w:val="24"/>
            <w:szCs w:val="24"/>
            <w:u w:val="single"/>
          </w:rPr>
          <w:t>[13]</w:t>
        </w:r>
      </w:hyperlink>
    </w:p>
    <w:p w14:paraId="1A234AD7"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r w:rsidRPr="00323D5D">
        <w:rPr>
          <w:rFonts w:ascii="Times New Roman" w:eastAsia="Times New Roman" w:hAnsi="Times New Roman" w:cs="Times New Roman"/>
          <w:sz w:val="24"/>
          <w:szCs w:val="24"/>
        </w:rPr>
        <w:t xml:space="preserve">The poor conditions of shelters in southern Israel are not considered worthy of mention. Mention of Hamas rocket attacks on the Jewish fast day </w:t>
      </w:r>
      <w:proofErr w:type="spellStart"/>
      <w:r w:rsidRPr="00323D5D">
        <w:rPr>
          <w:rFonts w:ascii="Times New Roman" w:eastAsia="Times New Roman" w:hAnsi="Times New Roman" w:cs="Times New Roman"/>
          <w:sz w:val="24"/>
          <w:szCs w:val="24"/>
        </w:rPr>
        <w:t>Tisha</w:t>
      </w:r>
      <w:proofErr w:type="spellEnd"/>
      <w:r w:rsidRPr="00323D5D">
        <w:rPr>
          <w:rFonts w:ascii="Times New Roman" w:eastAsia="Times New Roman" w:hAnsi="Times New Roman" w:cs="Times New Roman"/>
          <w:sz w:val="24"/>
          <w:szCs w:val="24"/>
        </w:rPr>
        <w:t xml:space="preserve"> </w:t>
      </w:r>
      <w:proofErr w:type="spellStart"/>
      <w:r w:rsidRPr="00323D5D">
        <w:rPr>
          <w:rFonts w:ascii="Times New Roman" w:eastAsia="Times New Roman" w:hAnsi="Times New Roman" w:cs="Times New Roman"/>
          <w:sz w:val="24"/>
          <w:szCs w:val="24"/>
        </w:rPr>
        <w:t>B’av</w:t>
      </w:r>
      <w:proofErr w:type="spellEnd"/>
      <w:r w:rsidRPr="00323D5D">
        <w:rPr>
          <w:rFonts w:ascii="Times New Roman" w:eastAsia="Times New Roman" w:hAnsi="Times New Roman" w:cs="Times New Roman"/>
          <w:sz w:val="24"/>
          <w:szCs w:val="24"/>
        </w:rPr>
        <w:t>, the same day a 72-hour ceasefire was supposed to go into effect</w:t>
      </w:r>
      <w:hyperlink r:id="rId17" w:anchor="_ftn14" w:history="1">
        <w:r w:rsidRPr="00323D5D">
          <w:rPr>
            <w:rFonts w:ascii="Times New Roman" w:eastAsia="Times New Roman" w:hAnsi="Times New Roman" w:cs="Times New Roman"/>
            <w:sz w:val="24"/>
            <w:szCs w:val="24"/>
            <w:u w:val="single"/>
          </w:rPr>
          <w:t>[14]</w:t>
        </w:r>
      </w:hyperlink>
      <w:r w:rsidRPr="00323D5D">
        <w:rPr>
          <w:rFonts w:ascii="Times New Roman" w:eastAsia="Times New Roman" w:hAnsi="Times New Roman" w:cs="Times New Roman"/>
          <w:sz w:val="24"/>
          <w:szCs w:val="24"/>
        </w:rPr>
        <w:t xml:space="preserve"> are also absent.</w:t>
      </w:r>
    </w:p>
    <w:p w14:paraId="56FACA5C"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r w:rsidRPr="00323D5D">
        <w:rPr>
          <w:rFonts w:ascii="Times New Roman" w:eastAsia="Times New Roman" w:hAnsi="Times New Roman" w:cs="Times New Roman"/>
          <w:sz w:val="24"/>
          <w:szCs w:val="24"/>
        </w:rPr>
        <w:t>The report adds: “In some instances, Palestinian armed groups in Gaza reportedly attempted to warn civilians in Israel of imminent attacks. For instance, on 20 August 2014, the Al-</w:t>
      </w:r>
      <w:proofErr w:type="spellStart"/>
      <w:r w:rsidRPr="00323D5D">
        <w:rPr>
          <w:rFonts w:ascii="Times New Roman" w:eastAsia="Times New Roman" w:hAnsi="Times New Roman" w:cs="Times New Roman"/>
          <w:sz w:val="24"/>
          <w:szCs w:val="24"/>
        </w:rPr>
        <w:t>Qassam</w:t>
      </w:r>
      <w:proofErr w:type="spellEnd"/>
      <w:r w:rsidRPr="00323D5D">
        <w:rPr>
          <w:rFonts w:ascii="Times New Roman" w:eastAsia="Times New Roman" w:hAnsi="Times New Roman" w:cs="Times New Roman"/>
          <w:sz w:val="24"/>
          <w:szCs w:val="24"/>
        </w:rPr>
        <w:t xml:space="preserve"> Brigades warned communities near Gaza to avoid returning home or to remain inside shelters.” </w:t>
      </w:r>
      <w:r w:rsidRPr="00323D5D">
        <w:rPr>
          <w:rFonts w:ascii="Times New Roman" w:eastAsia="Times New Roman" w:hAnsi="Times New Roman" w:cs="Times New Roman"/>
          <w:sz w:val="24"/>
          <w:szCs w:val="24"/>
        </w:rPr>
        <w:lastRenderedPageBreak/>
        <w:t>But, it does not mention whether these “warnings” reached Israel, or were in Hebrew, unlike all Israeli warnings, which are professionally translated into Arabic.</w:t>
      </w:r>
      <w:hyperlink r:id="rId18" w:anchor="_ftn15" w:history="1">
        <w:r w:rsidRPr="00323D5D">
          <w:rPr>
            <w:rFonts w:ascii="Times New Roman" w:eastAsia="Times New Roman" w:hAnsi="Times New Roman" w:cs="Times New Roman"/>
            <w:sz w:val="24"/>
            <w:szCs w:val="24"/>
            <w:u w:val="single"/>
          </w:rPr>
          <w:t>[15]</w:t>
        </w:r>
      </w:hyperlink>
      <w:r w:rsidRPr="00323D5D">
        <w:rPr>
          <w:rFonts w:ascii="Times New Roman" w:eastAsia="Times New Roman" w:hAnsi="Times New Roman" w:cs="Times New Roman"/>
          <w:sz w:val="24"/>
          <w:szCs w:val="24"/>
        </w:rPr>
        <w:t xml:space="preserve"> The Israeli warnings were systematic; the pro-Hamas authors of the UNHRC Gaza report only mentioned one Gazan warning.</w:t>
      </w:r>
    </w:p>
    <w:p w14:paraId="6E32045C"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r w:rsidRPr="00323D5D">
        <w:rPr>
          <w:rFonts w:ascii="Times New Roman" w:eastAsia="Times New Roman" w:hAnsi="Times New Roman" w:cs="Times New Roman"/>
          <w:sz w:val="24"/>
          <w:szCs w:val="24"/>
        </w:rPr>
        <w:t xml:space="preserve">Within the broader framework of the widespread UN moral relativism with Israel as a target, the two Gaza reports are amongst the most extreme examples of the agency’s double standards concerning values. Many others can be found as we have illustrated within the UNHRC itself and UNESCO. </w:t>
      </w:r>
      <w:hyperlink r:id="rId19" w:anchor="_ftn16" w:history="1">
        <w:r w:rsidRPr="00323D5D">
          <w:rPr>
            <w:rFonts w:ascii="Times New Roman" w:eastAsia="Times New Roman" w:hAnsi="Times New Roman" w:cs="Times New Roman"/>
            <w:sz w:val="24"/>
            <w:szCs w:val="24"/>
            <w:u w:val="single"/>
          </w:rPr>
          <w:t>[16]</w:t>
        </w:r>
      </w:hyperlink>
    </w:p>
    <w:p w14:paraId="0FDE2E91" w14:textId="77777777" w:rsidR="00323D5D" w:rsidRPr="00323D5D" w:rsidRDefault="00323D5D" w:rsidP="00323D5D">
      <w:pPr>
        <w:spacing w:after="0" w:line="240" w:lineRule="auto"/>
        <w:jc w:val="left"/>
        <w:rPr>
          <w:rFonts w:ascii="Times New Roman" w:eastAsia="Times New Roman" w:hAnsi="Times New Roman" w:cs="Times New Roman"/>
          <w:sz w:val="24"/>
          <w:szCs w:val="24"/>
        </w:rPr>
      </w:pPr>
      <w:r w:rsidRPr="00323D5D">
        <w:rPr>
          <w:rFonts w:ascii="Times New Roman" w:eastAsia="Times New Roman" w:hAnsi="Times New Roman" w:cs="Times New Roman"/>
          <w:b/>
          <w:bCs/>
          <w:sz w:val="24"/>
          <w:szCs w:val="24"/>
        </w:rPr>
        <w:t>Sources:</w:t>
      </w:r>
    </w:p>
    <w:p w14:paraId="59AD2EF1"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20" w:anchor="_ftnref1" w:history="1">
        <w:r w:rsidRPr="00323D5D">
          <w:rPr>
            <w:rFonts w:ascii="Times New Roman" w:eastAsia="Times New Roman" w:hAnsi="Times New Roman" w:cs="Times New Roman"/>
            <w:sz w:val="24"/>
            <w:szCs w:val="24"/>
            <w:u w:val="single"/>
          </w:rPr>
          <w:t>[1]</w:t>
        </w:r>
      </w:hyperlink>
      <w:r w:rsidRPr="00323D5D">
        <w:rPr>
          <w:rFonts w:ascii="Times New Roman" w:eastAsia="Times New Roman" w:hAnsi="Times New Roman" w:cs="Times New Roman"/>
          <w:sz w:val="24"/>
          <w:szCs w:val="24"/>
        </w:rPr>
        <w:t xml:space="preserve"> James David </w:t>
      </w:r>
      <w:proofErr w:type="spellStart"/>
      <w:r w:rsidRPr="00323D5D">
        <w:rPr>
          <w:rFonts w:ascii="Times New Roman" w:eastAsia="Times New Roman" w:hAnsi="Times New Roman" w:cs="Times New Roman"/>
          <w:sz w:val="24"/>
          <w:szCs w:val="24"/>
        </w:rPr>
        <w:t>Velleman</w:t>
      </w:r>
      <w:proofErr w:type="spellEnd"/>
      <w:r w:rsidRPr="00323D5D">
        <w:rPr>
          <w:rFonts w:ascii="Times New Roman" w:eastAsia="Times New Roman" w:hAnsi="Times New Roman" w:cs="Times New Roman"/>
          <w:sz w:val="24"/>
          <w:szCs w:val="24"/>
        </w:rPr>
        <w:t xml:space="preserve">, </w:t>
      </w:r>
      <w:r w:rsidRPr="00323D5D">
        <w:rPr>
          <w:rFonts w:ascii="Times New Roman" w:eastAsia="Times New Roman" w:hAnsi="Times New Roman" w:cs="Times New Roman"/>
          <w:i/>
          <w:iCs/>
          <w:sz w:val="24"/>
          <w:szCs w:val="24"/>
        </w:rPr>
        <w:t xml:space="preserve">Foundations for Moral Relativism, </w:t>
      </w:r>
      <w:r w:rsidRPr="00323D5D">
        <w:rPr>
          <w:rFonts w:ascii="Times New Roman" w:eastAsia="Times New Roman" w:hAnsi="Times New Roman" w:cs="Times New Roman"/>
          <w:sz w:val="24"/>
          <w:szCs w:val="24"/>
        </w:rPr>
        <w:t>(Cambridge: Open Book Publishers, 2013,) 1.</w:t>
      </w:r>
    </w:p>
    <w:p w14:paraId="63EEAB37"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21" w:anchor="_ftnref3" w:history="1">
        <w:r w:rsidRPr="00323D5D">
          <w:rPr>
            <w:rFonts w:ascii="Times New Roman" w:eastAsia="Times New Roman" w:hAnsi="Times New Roman" w:cs="Times New Roman"/>
            <w:sz w:val="24"/>
            <w:szCs w:val="24"/>
            <w:u w:val="single"/>
          </w:rPr>
          <w:t>[3]</w:t>
        </w:r>
      </w:hyperlink>
      <w:r w:rsidRPr="00323D5D">
        <w:rPr>
          <w:rFonts w:ascii="Times New Roman" w:eastAsia="Times New Roman" w:hAnsi="Times New Roman" w:cs="Times New Roman"/>
          <w:sz w:val="24"/>
          <w:szCs w:val="24"/>
        </w:rPr>
        <w:t xml:space="preserve"> “The UN Declaration of Human Rights,” United Nations.</w:t>
      </w:r>
    </w:p>
    <w:p w14:paraId="562B4AC0"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22" w:anchor="_ftnref4" w:history="1">
        <w:r w:rsidRPr="00323D5D">
          <w:rPr>
            <w:rFonts w:ascii="Times New Roman" w:eastAsia="Times New Roman" w:hAnsi="Times New Roman" w:cs="Times New Roman"/>
            <w:sz w:val="24"/>
            <w:szCs w:val="24"/>
            <w:u w:val="single"/>
          </w:rPr>
          <w:t>[4]</w:t>
        </w:r>
      </w:hyperlink>
      <w:r w:rsidRPr="00323D5D">
        <w:rPr>
          <w:rFonts w:ascii="Times New Roman" w:eastAsia="Times New Roman" w:hAnsi="Times New Roman" w:cs="Times New Roman"/>
          <w:sz w:val="24"/>
          <w:szCs w:val="24"/>
        </w:rPr>
        <w:t xml:space="preserve"> “Human Rights in Palestine and other Occupied Arab Territories: Report of the United Nations Fact-Finding Mission on the Gaza Conflict,” United Nations General Assembly, 25 September 2009.</w:t>
      </w:r>
    </w:p>
    <w:p w14:paraId="55DF858F"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23" w:anchor="_ftnref5" w:history="1">
        <w:r w:rsidRPr="00323D5D">
          <w:rPr>
            <w:rFonts w:ascii="Times New Roman" w:eastAsia="Times New Roman" w:hAnsi="Times New Roman" w:cs="Times New Roman"/>
            <w:sz w:val="24"/>
            <w:szCs w:val="24"/>
            <w:u w:val="single"/>
          </w:rPr>
          <w:t>[5]</w:t>
        </w:r>
      </w:hyperlink>
      <w:r w:rsidRPr="00323D5D">
        <w:rPr>
          <w:rFonts w:ascii="Times New Roman" w:eastAsia="Times New Roman" w:hAnsi="Times New Roman" w:cs="Times New Roman"/>
          <w:sz w:val="24"/>
          <w:szCs w:val="24"/>
        </w:rPr>
        <w:t xml:space="preserve"> “Hamas Covenant 1988,” Yale Law School, 18 August 1988.</w:t>
      </w:r>
    </w:p>
    <w:p w14:paraId="7B13A8AB"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24" w:anchor="_ftnref6" w:history="1">
        <w:r w:rsidRPr="00323D5D">
          <w:rPr>
            <w:rFonts w:ascii="Times New Roman" w:eastAsia="Times New Roman" w:hAnsi="Times New Roman" w:cs="Times New Roman"/>
            <w:sz w:val="24"/>
            <w:szCs w:val="24"/>
            <w:u w:val="single"/>
          </w:rPr>
          <w:t>[6]</w:t>
        </w:r>
      </w:hyperlink>
      <w:r w:rsidRPr="00323D5D">
        <w:rPr>
          <w:rFonts w:ascii="Times New Roman" w:eastAsia="Times New Roman" w:hAnsi="Times New Roman" w:cs="Times New Roman"/>
          <w:sz w:val="24"/>
          <w:szCs w:val="24"/>
        </w:rPr>
        <w:t xml:space="preserve"> Jonathan D. </w:t>
      </w:r>
      <w:proofErr w:type="spellStart"/>
      <w:r w:rsidRPr="00323D5D">
        <w:rPr>
          <w:rFonts w:ascii="Times New Roman" w:eastAsia="Times New Roman" w:hAnsi="Times New Roman" w:cs="Times New Roman"/>
          <w:sz w:val="24"/>
          <w:szCs w:val="24"/>
        </w:rPr>
        <w:t>Halevi</w:t>
      </w:r>
      <w:proofErr w:type="spellEnd"/>
      <w:r w:rsidRPr="00323D5D">
        <w:rPr>
          <w:rFonts w:ascii="Times New Roman" w:eastAsia="Times New Roman" w:hAnsi="Times New Roman" w:cs="Times New Roman"/>
          <w:sz w:val="24"/>
          <w:szCs w:val="24"/>
        </w:rPr>
        <w:t>, “Blocking the Truth of the Gaza War: How the Goldstone Commission Understated the Hamas Threat to Palestinian Civilians,” The Jerusalem Center for Public Affairs, 18 September 2009.</w:t>
      </w:r>
    </w:p>
    <w:p w14:paraId="3C3AB3A3"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25" w:anchor="_ftnref7" w:history="1">
        <w:r w:rsidRPr="00323D5D">
          <w:rPr>
            <w:rFonts w:ascii="Times New Roman" w:eastAsia="Times New Roman" w:hAnsi="Times New Roman" w:cs="Times New Roman"/>
            <w:sz w:val="24"/>
            <w:szCs w:val="24"/>
            <w:u w:val="single"/>
          </w:rPr>
          <w:t>[7]</w:t>
        </w:r>
      </w:hyperlink>
      <w:r w:rsidRPr="00323D5D">
        <w:rPr>
          <w:rFonts w:ascii="Times New Roman" w:eastAsia="Times New Roman" w:hAnsi="Times New Roman" w:cs="Times New Roman"/>
          <w:sz w:val="24"/>
          <w:szCs w:val="24"/>
        </w:rPr>
        <w:t xml:space="preserve">   “Human Rights in Palestine and other Occupied Arab Territories: Report of the United Nations Fact-Finding Mission on the Gaza Conflict,” United Nations General Assembly, 25 September 2009, 120.</w:t>
      </w:r>
    </w:p>
    <w:p w14:paraId="330A5672"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26" w:anchor="_ftnref8" w:history="1">
        <w:r w:rsidRPr="00323D5D">
          <w:rPr>
            <w:rFonts w:ascii="Times New Roman" w:eastAsia="Times New Roman" w:hAnsi="Times New Roman" w:cs="Times New Roman"/>
            <w:sz w:val="24"/>
            <w:szCs w:val="24"/>
            <w:u w:val="single"/>
          </w:rPr>
          <w:t>[8]</w:t>
        </w:r>
      </w:hyperlink>
      <w:r w:rsidRPr="00323D5D">
        <w:rPr>
          <w:rFonts w:ascii="Times New Roman" w:eastAsia="Times New Roman" w:hAnsi="Times New Roman" w:cs="Times New Roman"/>
          <w:sz w:val="24"/>
          <w:szCs w:val="24"/>
        </w:rPr>
        <w:t xml:space="preserve"> “Human Rights in Palestine and other Occupied Arab Territories: Report of the United Nations Fact-Finding Mission on the Gaza Conflict,” United Nations General Assembly, 25 September 2009.</w:t>
      </w:r>
    </w:p>
    <w:p w14:paraId="2EA33246"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27" w:anchor="_ftnref9" w:history="1">
        <w:r w:rsidRPr="00323D5D">
          <w:rPr>
            <w:rFonts w:ascii="Times New Roman" w:eastAsia="Times New Roman" w:hAnsi="Times New Roman" w:cs="Times New Roman"/>
            <w:sz w:val="24"/>
            <w:szCs w:val="24"/>
            <w:u w:val="single"/>
          </w:rPr>
          <w:t>[9]</w:t>
        </w:r>
      </w:hyperlink>
      <w:r w:rsidRPr="00323D5D">
        <w:rPr>
          <w:rFonts w:ascii="Times New Roman" w:eastAsia="Times New Roman" w:hAnsi="Times New Roman" w:cs="Times New Roman"/>
          <w:sz w:val="24"/>
          <w:szCs w:val="24"/>
        </w:rPr>
        <w:t xml:space="preserve"> Roni </w:t>
      </w:r>
      <w:proofErr w:type="spellStart"/>
      <w:r w:rsidRPr="00323D5D">
        <w:rPr>
          <w:rFonts w:ascii="Times New Roman" w:eastAsia="Times New Roman" w:hAnsi="Times New Roman" w:cs="Times New Roman"/>
          <w:sz w:val="24"/>
          <w:szCs w:val="24"/>
        </w:rPr>
        <w:t>Sofer</w:t>
      </w:r>
      <w:proofErr w:type="spellEnd"/>
      <w:r w:rsidRPr="00323D5D">
        <w:rPr>
          <w:rFonts w:ascii="Times New Roman" w:eastAsia="Times New Roman" w:hAnsi="Times New Roman" w:cs="Times New Roman"/>
          <w:sz w:val="24"/>
          <w:szCs w:val="24"/>
        </w:rPr>
        <w:t xml:space="preserve">, “Peres: Goldstone Report makes mockery of history,” </w:t>
      </w:r>
      <w:proofErr w:type="spellStart"/>
      <w:r w:rsidRPr="00323D5D">
        <w:rPr>
          <w:rFonts w:ascii="Times New Roman" w:eastAsia="Times New Roman" w:hAnsi="Times New Roman" w:cs="Times New Roman"/>
          <w:sz w:val="24"/>
          <w:szCs w:val="24"/>
        </w:rPr>
        <w:t>YNet</w:t>
      </w:r>
      <w:proofErr w:type="spellEnd"/>
      <w:r w:rsidRPr="00323D5D">
        <w:rPr>
          <w:rFonts w:ascii="Times New Roman" w:eastAsia="Times New Roman" w:hAnsi="Times New Roman" w:cs="Times New Roman"/>
          <w:sz w:val="24"/>
          <w:szCs w:val="24"/>
        </w:rPr>
        <w:t>, 16 September 2009.</w:t>
      </w:r>
    </w:p>
    <w:p w14:paraId="45CC7F9F"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28" w:anchor="_ftnref10" w:history="1">
        <w:r w:rsidRPr="00323D5D">
          <w:rPr>
            <w:rFonts w:ascii="Times New Roman" w:eastAsia="Times New Roman" w:hAnsi="Times New Roman" w:cs="Times New Roman"/>
            <w:sz w:val="24"/>
            <w:szCs w:val="24"/>
            <w:u w:val="single"/>
          </w:rPr>
          <w:t>[10]</w:t>
        </w:r>
      </w:hyperlink>
      <w:r w:rsidRPr="00323D5D">
        <w:rPr>
          <w:rFonts w:ascii="Times New Roman" w:eastAsia="Times New Roman" w:hAnsi="Times New Roman" w:cs="Times New Roman"/>
          <w:sz w:val="24"/>
          <w:szCs w:val="24"/>
        </w:rPr>
        <w:t xml:space="preserve"> Richard Goldstone, “Reconsidering the Goldstone Report on Israel and war crimes,” </w:t>
      </w:r>
      <w:r w:rsidRPr="00323D5D">
        <w:rPr>
          <w:rFonts w:ascii="Times New Roman" w:eastAsia="Times New Roman" w:hAnsi="Times New Roman" w:cs="Times New Roman"/>
          <w:i/>
          <w:iCs/>
          <w:sz w:val="24"/>
          <w:szCs w:val="24"/>
        </w:rPr>
        <w:t xml:space="preserve">The Washington Post, </w:t>
      </w:r>
      <w:r w:rsidRPr="00323D5D">
        <w:rPr>
          <w:rFonts w:ascii="Times New Roman" w:eastAsia="Times New Roman" w:hAnsi="Times New Roman" w:cs="Times New Roman"/>
          <w:sz w:val="24"/>
          <w:szCs w:val="24"/>
        </w:rPr>
        <w:t>1 April 2011.</w:t>
      </w:r>
    </w:p>
    <w:p w14:paraId="5148C895"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29" w:anchor="_ftnref11" w:history="1">
        <w:r w:rsidRPr="00323D5D">
          <w:rPr>
            <w:rFonts w:ascii="Times New Roman" w:eastAsia="Times New Roman" w:hAnsi="Times New Roman" w:cs="Times New Roman"/>
            <w:sz w:val="24"/>
            <w:szCs w:val="24"/>
            <w:u w:val="single"/>
          </w:rPr>
          <w:t>[11]</w:t>
        </w:r>
      </w:hyperlink>
      <w:r w:rsidRPr="00323D5D">
        <w:rPr>
          <w:rFonts w:ascii="Times New Roman" w:eastAsia="Times New Roman" w:hAnsi="Times New Roman" w:cs="Times New Roman"/>
          <w:sz w:val="24"/>
          <w:szCs w:val="24"/>
        </w:rPr>
        <w:t xml:space="preserve"> “Questions and Answers on the Report of the United Nations Independent Commission of Inquiry on the 2014 Gaza Conflict,” United Nations Office of the High Commissioner for Human Rights, 19 June 2015.</w:t>
      </w:r>
    </w:p>
    <w:p w14:paraId="7043E374"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30" w:anchor="_ftnref12" w:history="1">
        <w:r w:rsidRPr="00323D5D">
          <w:rPr>
            <w:rFonts w:ascii="Times New Roman" w:eastAsia="Times New Roman" w:hAnsi="Times New Roman" w:cs="Times New Roman"/>
            <w:sz w:val="24"/>
            <w:szCs w:val="24"/>
            <w:u w:val="single"/>
          </w:rPr>
          <w:t>[12]</w:t>
        </w:r>
      </w:hyperlink>
      <w:r w:rsidRPr="00323D5D">
        <w:rPr>
          <w:rFonts w:ascii="Times New Roman" w:eastAsia="Times New Roman" w:hAnsi="Times New Roman" w:cs="Times New Roman"/>
          <w:sz w:val="24"/>
          <w:szCs w:val="24"/>
        </w:rPr>
        <w:t xml:space="preserve"> Marissa Newman, “Israel announces it won’t cooperate with UN Gaza probe,” The Times of Israel, 12 November 2014.</w:t>
      </w:r>
    </w:p>
    <w:p w14:paraId="7779C57C"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31" w:anchor="_ftnref13" w:history="1">
        <w:r w:rsidRPr="00323D5D">
          <w:rPr>
            <w:rFonts w:ascii="Times New Roman" w:eastAsia="Times New Roman" w:hAnsi="Times New Roman" w:cs="Times New Roman"/>
            <w:sz w:val="24"/>
            <w:szCs w:val="24"/>
            <w:u w:val="single"/>
          </w:rPr>
          <w:t>[13]</w:t>
        </w:r>
      </w:hyperlink>
      <w:r w:rsidRPr="00323D5D">
        <w:rPr>
          <w:rFonts w:ascii="Times New Roman" w:eastAsia="Times New Roman" w:hAnsi="Times New Roman" w:cs="Times New Roman"/>
          <w:sz w:val="24"/>
          <w:szCs w:val="24"/>
        </w:rPr>
        <w:t xml:space="preserve"> “Report of the independent commission of inquiry established pursuant to Human Rights Council resolution S-21/1* ** ***,” United Nations General Assembly, 24 June 2015.</w:t>
      </w:r>
    </w:p>
    <w:p w14:paraId="159A1911"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32" w:anchor="_ftnref14" w:history="1">
        <w:r w:rsidRPr="00323D5D">
          <w:rPr>
            <w:rFonts w:ascii="Times New Roman" w:eastAsia="Times New Roman" w:hAnsi="Times New Roman" w:cs="Times New Roman"/>
            <w:sz w:val="24"/>
            <w:szCs w:val="24"/>
            <w:u w:val="single"/>
          </w:rPr>
          <w:t>[14]</w:t>
        </w:r>
      </w:hyperlink>
      <w:r w:rsidRPr="00323D5D">
        <w:rPr>
          <w:rFonts w:ascii="Times New Roman" w:eastAsia="Times New Roman" w:hAnsi="Times New Roman" w:cs="Times New Roman"/>
          <w:sz w:val="24"/>
          <w:szCs w:val="24"/>
        </w:rPr>
        <w:t xml:space="preserve"> </w:t>
      </w:r>
      <w:proofErr w:type="spellStart"/>
      <w:r w:rsidRPr="00323D5D">
        <w:rPr>
          <w:rFonts w:ascii="Times New Roman" w:eastAsia="Times New Roman" w:hAnsi="Times New Roman" w:cs="Times New Roman"/>
          <w:sz w:val="24"/>
          <w:szCs w:val="24"/>
        </w:rPr>
        <w:t>Yoav</w:t>
      </w:r>
      <w:proofErr w:type="spellEnd"/>
      <w:r w:rsidRPr="00323D5D">
        <w:rPr>
          <w:rFonts w:ascii="Times New Roman" w:eastAsia="Times New Roman" w:hAnsi="Times New Roman" w:cs="Times New Roman"/>
          <w:sz w:val="24"/>
          <w:szCs w:val="24"/>
        </w:rPr>
        <w:t xml:space="preserve"> </w:t>
      </w:r>
      <w:proofErr w:type="spellStart"/>
      <w:r w:rsidRPr="00323D5D">
        <w:rPr>
          <w:rFonts w:ascii="Times New Roman" w:eastAsia="Times New Roman" w:hAnsi="Times New Roman" w:cs="Times New Roman"/>
          <w:sz w:val="24"/>
          <w:szCs w:val="24"/>
        </w:rPr>
        <w:t>Zitun</w:t>
      </w:r>
      <w:proofErr w:type="spellEnd"/>
      <w:r w:rsidRPr="00323D5D">
        <w:rPr>
          <w:rFonts w:ascii="Times New Roman" w:eastAsia="Times New Roman" w:hAnsi="Times New Roman" w:cs="Times New Roman"/>
          <w:sz w:val="24"/>
          <w:szCs w:val="24"/>
        </w:rPr>
        <w:t xml:space="preserve"> and </w:t>
      </w:r>
      <w:proofErr w:type="spellStart"/>
      <w:r w:rsidRPr="00323D5D">
        <w:rPr>
          <w:rFonts w:ascii="Times New Roman" w:eastAsia="Times New Roman" w:hAnsi="Times New Roman" w:cs="Times New Roman"/>
          <w:sz w:val="24"/>
          <w:szCs w:val="24"/>
        </w:rPr>
        <w:t>Itay</w:t>
      </w:r>
      <w:proofErr w:type="spellEnd"/>
      <w:r w:rsidRPr="00323D5D">
        <w:rPr>
          <w:rFonts w:ascii="Times New Roman" w:eastAsia="Times New Roman" w:hAnsi="Times New Roman" w:cs="Times New Roman"/>
          <w:sz w:val="24"/>
          <w:szCs w:val="24"/>
        </w:rPr>
        <w:t xml:space="preserve"> Blumenthal, “IDF withdraws from Gaza as 17 rockets fired at Israel,” </w:t>
      </w:r>
      <w:proofErr w:type="spellStart"/>
      <w:r w:rsidRPr="00323D5D">
        <w:rPr>
          <w:rFonts w:ascii="Times New Roman" w:eastAsia="Times New Roman" w:hAnsi="Times New Roman" w:cs="Times New Roman"/>
          <w:sz w:val="24"/>
          <w:szCs w:val="24"/>
        </w:rPr>
        <w:t>YNet</w:t>
      </w:r>
      <w:proofErr w:type="spellEnd"/>
      <w:r w:rsidRPr="00323D5D">
        <w:rPr>
          <w:rFonts w:ascii="Times New Roman" w:eastAsia="Times New Roman" w:hAnsi="Times New Roman" w:cs="Times New Roman"/>
          <w:sz w:val="24"/>
          <w:szCs w:val="24"/>
        </w:rPr>
        <w:t>, 5 August 2014.</w:t>
      </w:r>
    </w:p>
    <w:p w14:paraId="53C04DC2"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33" w:anchor="_ftnref15" w:history="1">
        <w:r w:rsidRPr="00323D5D">
          <w:rPr>
            <w:rFonts w:ascii="Times New Roman" w:eastAsia="Times New Roman" w:hAnsi="Times New Roman" w:cs="Times New Roman"/>
            <w:sz w:val="24"/>
            <w:szCs w:val="24"/>
            <w:u w:val="single"/>
          </w:rPr>
          <w:t>[15]</w:t>
        </w:r>
      </w:hyperlink>
      <w:r w:rsidRPr="00323D5D">
        <w:rPr>
          <w:rFonts w:ascii="Times New Roman" w:eastAsia="Times New Roman" w:hAnsi="Times New Roman" w:cs="Times New Roman"/>
          <w:sz w:val="24"/>
          <w:szCs w:val="24"/>
        </w:rPr>
        <w:t xml:space="preserve"> “Report of the independent commission of inquiry established pursuant to Human Rights Council resolution S-21/1* ** ***,” United Nations General Assembly, 24 June 2015.</w:t>
      </w:r>
    </w:p>
    <w:p w14:paraId="1373E83E"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34" w:anchor="_ftnref16" w:history="1">
        <w:r w:rsidRPr="00323D5D">
          <w:rPr>
            <w:rFonts w:ascii="Times New Roman" w:eastAsia="Times New Roman" w:hAnsi="Times New Roman" w:cs="Times New Roman"/>
            <w:sz w:val="24"/>
            <w:szCs w:val="24"/>
            <w:u w:val="single"/>
          </w:rPr>
          <w:t>[16]</w:t>
        </w:r>
      </w:hyperlink>
      <w:r w:rsidRPr="00323D5D">
        <w:rPr>
          <w:rFonts w:ascii="Times New Roman" w:eastAsia="Times New Roman" w:hAnsi="Times New Roman" w:cs="Times New Roman"/>
          <w:sz w:val="24"/>
          <w:szCs w:val="24"/>
        </w:rPr>
        <w:t xml:space="preserve"> Manfred </w:t>
      </w:r>
      <w:proofErr w:type="spellStart"/>
      <w:r w:rsidRPr="00323D5D">
        <w:rPr>
          <w:rFonts w:ascii="Times New Roman" w:eastAsia="Times New Roman" w:hAnsi="Times New Roman" w:cs="Times New Roman"/>
          <w:sz w:val="24"/>
          <w:szCs w:val="24"/>
        </w:rPr>
        <w:t>Gerstenfeld</w:t>
      </w:r>
      <w:proofErr w:type="spellEnd"/>
      <w:r w:rsidRPr="00323D5D">
        <w:rPr>
          <w:rFonts w:ascii="Times New Roman" w:eastAsia="Times New Roman" w:hAnsi="Times New Roman" w:cs="Times New Roman"/>
          <w:sz w:val="24"/>
          <w:szCs w:val="24"/>
        </w:rPr>
        <w:t xml:space="preserve"> and Jamie </w:t>
      </w:r>
      <w:proofErr w:type="spellStart"/>
      <w:r w:rsidRPr="00323D5D">
        <w:rPr>
          <w:rFonts w:ascii="Times New Roman" w:eastAsia="Times New Roman" w:hAnsi="Times New Roman" w:cs="Times New Roman"/>
          <w:sz w:val="24"/>
          <w:szCs w:val="24"/>
        </w:rPr>
        <w:t>Berk</w:t>
      </w:r>
      <w:proofErr w:type="spellEnd"/>
      <w:r w:rsidRPr="00323D5D">
        <w:rPr>
          <w:rFonts w:ascii="Times New Roman" w:eastAsia="Times New Roman" w:hAnsi="Times New Roman" w:cs="Times New Roman"/>
          <w:sz w:val="24"/>
          <w:szCs w:val="24"/>
        </w:rPr>
        <w:t xml:space="preserve">, “The UN Human Rights Council and Moral Relativism,” Israel National News, 31 July 2015. See also, Manfred </w:t>
      </w:r>
      <w:proofErr w:type="spellStart"/>
      <w:r w:rsidRPr="00323D5D">
        <w:rPr>
          <w:rFonts w:ascii="Times New Roman" w:eastAsia="Times New Roman" w:hAnsi="Times New Roman" w:cs="Times New Roman"/>
          <w:sz w:val="24"/>
          <w:szCs w:val="24"/>
        </w:rPr>
        <w:t>Gerstenfeld</w:t>
      </w:r>
      <w:proofErr w:type="spellEnd"/>
      <w:r w:rsidRPr="00323D5D">
        <w:rPr>
          <w:rFonts w:ascii="Times New Roman" w:eastAsia="Times New Roman" w:hAnsi="Times New Roman" w:cs="Times New Roman"/>
          <w:sz w:val="24"/>
          <w:szCs w:val="24"/>
        </w:rPr>
        <w:t xml:space="preserve"> and Jamie </w:t>
      </w:r>
      <w:proofErr w:type="spellStart"/>
      <w:r w:rsidRPr="00323D5D">
        <w:rPr>
          <w:rFonts w:ascii="Times New Roman" w:eastAsia="Times New Roman" w:hAnsi="Times New Roman" w:cs="Times New Roman"/>
          <w:sz w:val="24"/>
          <w:szCs w:val="24"/>
        </w:rPr>
        <w:t>Berk</w:t>
      </w:r>
      <w:proofErr w:type="spellEnd"/>
      <w:r w:rsidRPr="00323D5D">
        <w:rPr>
          <w:rFonts w:ascii="Times New Roman" w:eastAsia="Times New Roman" w:hAnsi="Times New Roman" w:cs="Times New Roman"/>
          <w:sz w:val="24"/>
          <w:szCs w:val="24"/>
        </w:rPr>
        <w:t>, “UNESCO's Use of Moral Relativism to Foster Anti-Israel Bias,” Israel National News, 18 August 2015.</w:t>
      </w:r>
    </w:p>
    <w:p w14:paraId="60A1410D" w14:textId="77777777" w:rsidR="00323D5D" w:rsidRDefault="00323D5D"/>
    <w:sectPr w:rsidR="00323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5D"/>
    <w:rsid w:val="00323D5D"/>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FA6E"/>
  <w15:chartTrackingRefBased/>
  <w15:docId w15:val="{0F3447F2-DC08-4307-8599-B6969620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323D5D"/>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3D5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23D5D"/>
    <w:rPr>
      <w:color w:val="0563C1" w:themeColor="hyperlink"/>
      <w:u w:val="single"/>
    </w:rPr>
  </w:style>
  <w:style w:type="paragraph" w:styleId="NormalWeb">
    <w:name w:val="Normal (Web)"/>
    <w:basedOn w:val="Normal"/>
    <w:uiPriority w:val="99"/>
    <w:semiHidden/>
    <w:unhideWhenUsed/>
    <w:rsid w:val="00323D5D"/>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lad">
    <w:name w:val="il_ad"/>
    <w:basedOn w:val="DefaultParagraphFont"/>
    <w:rsid w:val="00323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54639">
      <w:bodyDiv w:val="1"/>
      <w:marLeft w:val="0"/>
      <w:marRight w:val="0"/>
      <w:marTop w:val="0"/>
      <w:marBottom w:val="0"/>
      <w:divBdr>
        <w:top w:val="none" w:sz="0" w:space="0" w:color="auto"/>
        <w:left w:val="none" w:sz="0" w:space="0" w:color="auto"/>
        <w:bottom w:val="none" w:sz="0" w:space="0" w:color="auto"/>
        <w:right w:val="none" w:sz="0" w:space="0" w:color="auto"/>
      </w:divBdr>
      <w:divsChild>
        <w:div w:id="735054045">
          <w:marLeft w:val="0"/>
          <w:marRight w:val="0"/>
          <w:marTop w:val="0"/>
          <w:marBottom w:val="0"/>
          <w:divBdr>
            <w:top w:val="none" w:sz="0" w:space="0" w:color="auto"/>
            <w:left w:val="none" w:sz="0" w:space="0" w:color="auto"/>
            <w:bottom w:val="none" w:sz="0" w:space="0" w:color="auto"/>
            <w:right w:val="none" w:sz="0" w:space="0" w:color="auto"/>
          </w:divBdr>
          <w:divsChild>
            <w:div w:id="1255826120">
              <w:marLeft w:val="0"/>
              <w:marRight w:val="0"/>
              <w:marTop w:val="0"/>
              <w:marBottom w:val="0"/>
              <w:divBdr>
                <w:top w:val="none" w:sz="0" w:space="0" w:color="auto"/>
                <w:left w:val="none" w:sz="0" w:space="0" w:color="auto"/>
                <w:bottom w:val="none" w:sz="0" w:space="0" w:color="auto"/>
                <w:right w:val="none" w:sz="0" w:space="0" w:color="auto"/>
              </w:divBdr>
            </w:div>
            <w:div w:id="963191081">
              <w:marLeft w:val="0"/>
              <w:marRight w:val="0"/>
              <w:marTop w:val="0"/>
              <w:marBottom w:val="0"/>
              <w:divBdr>
                <w:top w:val="none" w:sz="0" w:space="0" w:color="auto"/>
                <w:left w:val="none" w:sz="0" w:space="0" w:color="auto"/>
                <w:bottom w:val="none" w:sz="0" w:space="0" w:color="auto"/>
                <w:right w:val="none" w:sz="0" w:space="0" w:color="auto"/>
              </w:divBdr>
            </w:div>
            <w:div w:id="837577194">
              <w:marLeft w:val="0"/>
              <w:marRight w:val="0"/>
              <w:marTop w:val="0"/>
              <w:marBottom w:val="0"/>
              <w:divBdr>
                <w:top w:val="none" w:sz="0" w:space="0" w:color="auto"/>
                <w:left w:val="none" w:sz="0" w:space="0" w:color="auto"/>
                <w:bottom w:val="none" w:sz="0" w:space="0" w:color="auto"/>
                <w:right w:val="none" w:sz="0" w:space="0" w:color="auto"/>
              </w:divBdr>
            </w:div>
            <w:div w:id="1759600700">
              <w:marLeft w:val="0"/>
              <w:marRight w:val="0"/>
              <w:marTop w:val="0"/>
              <w:marBottom w:val="0"/>
              <w:divBdr>
                <w:top w:val="none" w:sz="0" w:space="0" w:color="auto"/>
                <w:left w:val="none" w:sz="0" w:space="0" w:color="auto"/>
                <w:bottom w:val="none" w:sz="0" w:space="0" w:color="auto"/>
                <w:right w:val="none" w:sz="0" w:space="0" w:color="auto"/>
              </w:divBdr>
            </w:div>
            <w:div w:id="2023585934">
              <w:marLeft w:val="0"/>
              <w:marRight w:val="0"/>
              <w:marTop w:val="0"/>
              <w:marBottom w:val="0"/>
              <w:divBdr>
                <w:top w:val="none" w:sz="0" w:space="0" w:color="auto"/>
                <w:left w:val="none" w:sz="0" w:space="0" w:color="auto"/>
                <w:bottom w:val="none" w:sz="0" w:space="0" w:color="auto"/>
                <w:right w:val="none" w:sz="0" w:space="0" w:color="auto"/>
              </w:divBdr>
            </w:div>
            <w:div w:id="384334108">
              <w:marLeft w:val="0"/>
              <w:marRight w:val="0"/>
              <w:marTop w:val="0"/>
              <w:marBottom w:val="0"/>
              <w:divBdr>
                <w:top w:val="none" w:sz="0" w:space="0" w:color="auto"/>
                <w:left w:val="none" w:sz="0" w:space="0" w:color="auto"/>
                <w:bottom w:val="none" w:sz="0" w:space="0" w:color="auto"/>
                <w:right w:val="none" w:sz="0" w:space="0" w:color="auto"/>
              </w:divBdr>
            </w:div>
            <w:div w:id="1326782805">
              <w:marLeft w:val="0"/>
              <w:marRight w:val="0"/>
              <w:marTop w:val="0"/>
              <w:marBottom w:val="0"/>
              <w:divBdr>
                <w:top w:val="none" w:sz="0" w:space="0" w:color="auto"/>
                <w:left w:val="none" w:sz="0" w:space="0" w:color="auto"/>
                <w:bottom w:val="none" w:sz="0" w:space="0" w:color="auto"/>
                <w:right w:val="none" w:sz="0" w:space="0" w:color="auto"/>
              </w:divBdr>
            </w:div>
            <w:div w:id="1871144833">
              <w:marLeft w:val="0"/>
              <w:marRight w:val="0"/>
              <w:marTop w:val="0"/>
              <w:marBottom w:val="0"/>
              <w:divBdr>
                <w:top w:val="none" w:sz="0" w:space="0" w:color="auto"/>
                <w:left w:val="none" w:sz="0" w:space="0" w:color="auto"/>
                <w:bottom w:val="none" w:sz="0" w:space="0" w:color="auto"/>
                <w:right w:val="none" w:sz="0" w:space="0" w:color="auto"/>
              </w:divBdr>
            </w:div>
            <w:div w:id="1939093295">
              <w:marLeft w:val="0"/>
              <w:marRight w:val="0"/>
              <w:marTop w:val="0"/>
              <w:marBottom w:val="0"/>
              <w:divBdr>
                <w:top w:val="none" w:sz="0" w:space="0" w:color="auto"/>
                <w:left w:val="none" w:sz="0" w:space="0" w:color="auto"/>
                <w:bottom w:val="none" w:sz="0" w:space="0" w:color="auto"/>
                <w:right w:val="none" w:sz="0" w:space="0" w:color="auto"/>
              </w:divBdr>
            </w:div>
            <w:div w:id="656956663">
              <w:marLeft w:val="0"/>
              <w:marRight w:val="0"/>
              <w:marTop w:val="0"/>
              <w:marBottom w:val="0"/>
              <w:divBdr>
                <w:top w:val="none" w:sz="0" w:space="0" w:color="auto"/>
                <w:left w:val="none" w:sz="0" w:space="0" w:color="auto"/>
                <w:bottom w:val="none" w:sz="0" w:space="0" w:color="auto"/>
                <w:right w:val="none" w:sz="0" w:space="0" w:color="auto"/>
              </w:divBdr>
            </w:div>
            <w:div w:id="553541993">
              <w:marLeft w:val="0"/>
              <w:marRight w:val="0"/>
              <w:marTop w:val="0"/>
              <w:marBottom w:val="0"/>
              <w:divBdr>
                <w:top w:val="none" w:sz="0" w:space="0" w:color="auto"/>
                <w:left w:val="none" w:sz="0" w:space="0" w:color="auto"/>
                <w:bottom w:val="none" w:sz="0" w:space="0" w:color="auto"/>
                <w:right w:val="none" w:sz="0" w:space="0" w:color="auto"/>
              </w:divBdr>
            </w:div>
            <w:div w:id="570385740">
              <w:marLeft w:val="0"/>
              <w:marRight w:val="0"/>
              <w:marTop w:val="0"/>
              <w:marBottom w:val="0"/>
              <w:divBdr>
                <w:top w:val="none" w:sz="0" w:space="0" w:color="auto"/>
                <w:left w:val="none" w:sz="0" w:space="0" w:color="auto"/>
                <w:bottom w:val="none" w:sz="0" w:space="0" w:color="auto"/>
                <w:right w:val="none" w:sz="0" w:space="0" w:color="auto"/>
              </w:divBdr>
            </w:div>
            <w:div w:id="898790199">
              <w:marLeft w:val="0"/>
              <w:marRight w:val="0"/>
              <w:marTop w:val="0"/>
              <w:marBottom w:val="0"/>
              <w:divBdr>
                <w:top w:val="none" w:sz="0" w:space="0" w:color="auto"/>
                <w:left w:val="none" w:sz="0" w:space="0" w:color="auto"/>
                <w:bottom w:val="none" w:sz="0" w:space="0" w:color="auto"/>
                <w:right w:val="none" w:sz="0" w:space="0" w:color="auto"/>
              </w:divBdr>
            </w:div>
            <w:div w:id="535317662">
              <w:marLeft w:val="0"/>
              <w:marRight w:val="0"/>
              <w:marTop w:val="0"/>
              <w:marBottom w:val="0"/>
              <w:divBdr>
                <w:top w:val="none" w:sz="0" w:space="0" w:color="auto"/>
                <w:left w:val="none" w:sz="0" w:space="0" w:color="auto"/>
                <w:bottom w:val="none" w:sz="0" w:space="0" w:color="auto"/>
                <w:right w:val="none" w:sz="0" w:space="0" w:color="auto"/>
              </w:divBdr>
            </w:div>
            <w:div w:id="16482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1963">
      <w:bodyDiv w:val="1"/>
      <w:marLeft w:val="0"/>
      <w:marRight w:val="0"/>
      <w:marTop w:val="0"/>
      <w:marBottom w:val="0"/>
      <w:divBdr>
        <w:top w:val="none" w:sz="0" w:space="0" w:color="auto"/>
        <w:left w:val="none" w:sz="0" w:space="0" w:color="auto"/>
        <w:bottom w:val="none" w:sz="0" w:space="0" w:color="auto"/>
        <w:right w:val="none" w:sz="0" w:space="0" w:color="auto"/>
      </w:divBdr>
    </w:div>
    <w:div w:id="15633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elnationalnews.com/Articles/Article.aspx/17504" TargetMode="External"/><Relationship Id="rId13" Type="http://schemas.openxmlformats.org/officeDocument/2006/relationships/hyperlink" Target="http://www.israelnationalnews.com/Articles/Article.aspx/17504" TargetMode="External"/><Relationship Id="rId18" Type="http://schemas.openxmlformats.org/officeDocument/2006/relationships/hyperlink" Target="http://www.israelnationalnews.com/Articles/Article.aspx/17504" TargetMode="External"/><Relationship Id="rId26" Type="http://schemas.openxmlformats.org/officeDocument/2006/relationships/hyperlink" Target="http://www.israelnationalnews.com/Articles/Article.aspx/17504" TargetMode="External"/><Relationship Id="rId3" Type="http://schemas.openxmlformats.org/officeDocument/2006/relationships/webSettings" Target="webSettings.xml"/><Relationship Id="rId21" Type="http://schemas.openxmlformats.org/officeDocument/2006/relationships/hyperlink" Target="http://www.israelnationalnews.com/Articles/Article.aspx/17504" TargetMode="External"/><Relationship Id="rId34" Type="http://schemas.openxmlformats.org/officeDocument/2006/relationships/hyperlink" Target="http://www.israelnationalnews.com/Articles/Article.aspx/17504" TargetMode="External"/><Relationship Id="rId7" Type="http://schemas.openxmlformats.org/officeDocument/2006/relationships/hyperlink" Target="http://www.israelnationalnews.com/Articles/Article.aspx/17504" TargetMode="External"/><Relationship Id="rId12" Type="http://schemas.openxmlformats.org/officeDocument/2006/relationships/hyperlink" Target="http://www.israelnationalnews.com/Articles/Article.aspx/17504" TargetMode="External"/><Relationship Id="rId17" Type="http://schemas.openxmlformats.org/officeDocument/2006/relationships/hyperlink" Target="http://www.israelnationalnews.com/Articles/Article.aspx/17504" TargetMode="External"/><Relationship Id="rId25" Type="http://schemas.openxmlformats.org/officeDocument/2006/relationships/hyperlink" Target="http://www.israelnationalnews.com/Articles/Article.aspx/17504" TargetMode="External"/><Relationship Id="rId33" Type="http://schemas.openxmlformats.org/officeDocument/2006/relationships/hyperlink" Target="http://www.israelnationalnews.com/Articles/Article.aspx/17504" TargetMode="External"/><Relationship Id="rId2" Type="http://schemas.openxmlformats.org/officeDocument/2006/relationships/settings" Target="settings.xml"/><Relationship Id="rId16" Type="http://schemas.openxmlformats.org/officeDocument/2006/relationships/hyperlink" Target="http://www.israelnationalnews.com/Articles/Article.aspx/17504" TargetMode="External"/><Relationship Id="rId20" Type="http://schemas.openxmlformats.org/officeDocument/2006/relationships/hyperlink" Target="http://www.israelnationalnews.com/Articles/Article.aspx/17504" TargetMode="External"/><Relationship Id="rId29" Type="http://schemas.openxmlformats.org/officeDocument/2006/relationships/hyperlink" Target="http://www.israelnationalnews.com/Articles/Article.aspx/17504" TargetMode="External"/><Relationship Id="rId1" Type="http://schemas.openxmlformats.org/officeDocument/2006/relationships/styles" Target="styles.xml"/><Relationship Id="rId6" Type="http://schemas.openxmlformats.org/officeDocument/2006/relationships/hyperlink" Target="http://www.israelnationalnews.com/Articles/Article.aspx/17504" TargetMode="External"/><Relationship Id="rId11" Type="http://schemas.openxmlformats.org/officeDocument/2006/relationships/hyperlink" Target="http://www.israelnationalnews.com/Articles/Article.aspx/17504" TargetMode="External"/><Relationship Id="rId24" Type="http://schemas.openxmlformats.org/officeDocument/2006/relationships/hyperlink" Target="http://www.israelnationalnews.com/Articles/Article.aspx/17504" TargetMode="External"/><Relationship Id="rId32" Type="http://schemas.openxmlformats.org/officeDocument/2006/relationships/hyperlink" Target="http://www.israelnationalnews.com/Articles/Article.aspx/17504" TargetMode="External"/><Relationship Id="rId5" Type="http://schemas.openxmlformats.org/officeDocument/2006/relationships/hyperlink" Target="http://www.israelnationalnews.com/Articles/Article.aspx/17504" TargetMode="External"/><Relationship Id="rId15" Type="http://schemas.openxmlformats.org/officeDocument/2006/relationships/hyperlink" Target="http://www.israelnationalnews.com/Articles/Article.aspx/17504" TargetMode="External"/><Relationship Id="rId23" Type="http://schemas.openxmlformats.org/officeDocument/2006/relationships/hyperlink" Target="http://www.israelnationalnews.com/Articles/Article.aspx/17504" TargetMode="External"/><Relationship Id="rId28" Type="http://schemas.openxmlformats.org/officeDocument/2006/relationships/hyperlink" Target="http://www.israelnationalnews.com/Articles/Article.aspx/17504" TargetMode="External"/><Relationship Id="rId36" Type="http://schemas.openxmlformats.org/officeDocument/2006/relationships/theme" Target="theme/theme1.xml"/><Relationship Id="rId10" Type="http://schemas.openxmlformats.org/officeDocument/2006/relationships/hyperlink" Target="http://www.israelnationalnews.com/Articles/Article.aspx/17504" TargetMode="External"/><Relationship Id="rId19" Type="http://schemas.openxmlformats.org/officeDocument/2006/relationships/hyperlink" Target="http://www.israelnationalnews.com/Articles/Article.aspx/17504" TargetMode="External"/><Relationship Id="rId31" Type="http://schemas.openxmlformats.org/officeDocument/2006/relationships/hyperlink" Target="http://www.israelnationalnews.com/Articles/Article.aspx/17504" TargetMode="External"/><Relationship Id="rId4" Type="http://schemas.openxmlformats.org/officeDocument/2006/relationships/hyperlink" Target="http://www.israelnationalnews.com/Articles/Article.aspx/17504#.VemWIpezljs" TargetMode="External"/><Relationship Id="rId9" Type="http://schemas.openxmlformats.org/officeDocument/2006/relationships/hyperlink" Target="http://www.israelnationalnews.com/Articles/Article.aspx/17504" TargetMode="External"/><Relationship Id="rId14" Type="http://schemas.openxmlformats.org/officeDocument/2006/relationships/hyperlink" Target="http://www.israelnationalnews.com/Articles/Article.aspx/17504" TargetMode="External"/><Relationship Id="rId22" Type="http://schemas.openxmlformats.org/officeDocument/2006/relationships/hyperlink" Target="http://www.israelnationalnews.com/Articles/Article.aspx/17504" TargetMode="External"/><Relationship Id="rId27" Type="http://schemas.openxmlformats.org/officeDocument/2006/relationships/hyperlink" Target="http://www.israelnationalnews.com/Articles/Article.aspx/17504" TargetMode="External"/><Relationship Id="rId30" Type="http://schemas.openxmlformats.org/officeDocument/2006/relationships/hyperlink" Target="http://www.israelnationalnews.com/Articles/Article.aspx/17504"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2015-09-04T13:06:00Z</dcterms:created>
  <dcterms:modified xsi:type="dcterms:W3CDTF">2015-09-04T13:10:00Z</dcterms:modified>
</cp:coreProperties>
</file>