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13C5" w14:textId="77777777" w:rsidR="00AA3C37" w:rsidRDefault="00AA3C37" w:rsidP="00110058">
      <w:pPr>
        <w:spacing w:after="0"/>
        <w:rPr>
          <w:rFonts w:ascii="Times New Roman" w:hAnsi="Times New Roman" w:cs="Times New Roman"/>
          <w:b/>
          <w:bCs/>
          <w:sz w:val="48"/>
          <w:szCs w:val="48"/>
        </w:rPr>
      </w:pPr>
      <w:bookmarkStart w:id="0" w:name="_GoBack"/>
      <w:r w:rsidRPr="00AA3C37">
        <w:rPr>
          <w:rFonts w:ascii="Times New Roman" w:hAnsi="Times New Roman" w:cs="Times New Roman"/>
          <w:b/>
          <w:bCs/>
          <w:sz w:val="48"/>
          <w:szCs w:val="48"/>
        </w:rPr>
        <w:t>The International Criminal Court on Israel: Another Step toward Investigation</w:t>
      </w:r>
    </w:p>
    <w:bookmarkEnd w:id="0"/>
    <w:p w14:paraId="4AD72E5B" w14:textId="11D9835A" w:rsidR="000075B9" w:rsidRDefault="00AA3C37" w:rsidP="00110058">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Pnina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Sharvit</w:t>
      </w:r>
      <w:proofErr w:type="spellEnd"/>
      <w:r>
        <w:rPr>
          <w:rFonts w:ascii="Times New Roman" w:hAnsi="Times New Roman" w:cs="Times New Roman"/>
          <w:sz w:val="24"/>
          <w:szCs w:val="24"/>
        </w:rPr>
        <w:t xml:space="preserve"> Baruch</w:t>
      </w:r>
    </w:p>
    <w:p w14:paraId="6090DFE5" w14:textId="0EB59382" w:rsidR="00AA3C37" w:rsidRDefault="00AA3C37" w:rsidP="00110058">
      <w:pPr>
        <w:spacing w:after="0"/>
        <w:rPr>
          <w:rFonts w:ascii="Times New Roman" w:hAnsi="Times New Roman" w:cs="Times New Roman"/>
          <w:sz w:val="24"/>
          <w:szCs w:val="24"/>
        </w:rPr>
      </w:pPr>
      <w:r>
        <w:rPr>
          <w:rFonts w:ascii="Times New Roman" w:hAnsi="Times New Roman" w:cs="Times New Roman"/>
          <w:sz w:val="24"/>
          <w:szCs w:val="24"/>
        </w:rPr>
        <w:t>Institute for National Security Studies</w:t>
      </w:r>
    </w:p>
    <w:p w14:paraId="5EFF3D8D" w14:textId="01C722F5" w:rsidR="00260EAF"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AA3C37">
        <w:rPr>
          <w:rFonts w:ascii="Times New Roman" w:hAnsi="Times New Roman" w:cs="Times New Roman"/>
          <w:sz w:val="24"/>
          <w:szCs w:val="24"/>
        </w:rPr>
        <w:t>3</w:t>
      </w:r>
      <w:r>
        <w:rPr>
          <w:rFonts w:ascii="Times New Roman" w:hAnsi="Times New Roman" w:cs="Times New Roman"/>
          <w:sz w:val="24"/>
          <w:szCs w:val="24"/>
        </w:rPr>
        <w:t>, 2019</w:t>
      </w:r>
    </w:p>
    <w:p w14:paraId="110303FF" w14:textId="1C11BD84" w:rsidR="009A3531" w:rsidRDefault="00AA3C37" w:rsidP="00110058">
      <w:pPr>
        <w:spacing w:after="0"/>
        <w:rPr>
          <w:rFonts w:ascii="Times New Roman" w:hAnsi="Times New Roman" w:cs="Times New Roman"/>
          <w:sz w:val="24"/>
          <w:szCs w:val="24"/>
        </w:rPr>
      </w:pPr>
      <w:hyperlink r:id="rId5" w:history="1">
        <w:r w:rsidRPr="00D3048C">
          <w:rPr>
            <w:rStyle w:val="Hyperlink"/>
            <w:rFonts w:ascii="Times New Roman" w:hAnsi="Times New Roman" w:cs="Times New Roman"/>
            <w:sz w:val="24"/>
            <w:szCs w:val="24"/>
          </w:rPr>
          <w:t>https://www.inss.org.il/publication/the-international-criminal-court-on-israel-another-step-toward-investigation/</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34C160E0"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On Friday, December 20, 2019, the Prosecutor of the International Criminal Court (ICC) announced her decision that an investigation should be launched into the “situation in Palestine" regarding war crimes committed by all sides during Operation Protective Edge and regarding the "crime of the settlements" and the shooting incidents along the Gaza fence. The Prosecutor requested that a Pre-Trial Chamber issue a ruling on the scope of territorial jurisdiction in support of her position that Palestine can be deemed a state comprising </w:t>
      </w:r>
      <w:proofErr w:type="gramStart"/>
      <w:r w:rsidRPr="00AA3C37">
        <w:rPr>
          <w:rFonts w:ascii="Times New Roman" w:hAnsi="Times New Roman" w:cs="Times New Roman"/>
          <w:sz w:val="24"/>
          <w:szCs w:val="24"/>
        </w:rPr>
        <w:t>all of</w:t>
      </w:r>
      <w:proofErr w:type="gramEnd"/>
      <w:r w:rsidRPr="00AA3C37">
        <w:rPr>
          <w:rFonts w:ascii="Times New Roman" w:hAnsi="Times New Roman" w:cs="Times New Roman"/>
          <w:sz w:val="24"/>
          <w:szCs w:val="24"/>
        </w:rPr>
        <w:t xml:space="preserve"> the West Bank, including East Jerusalem, and the Gaza Strip. Israel can expect an uphill battle, especially in whatever relates to the "crime" of the settlements. However, regarding possible war crimes during Operation Protective Edge, the Prosecutor, who noted the independence of Israeli courts, left an opening for an acceptance of the argument that under the principle of complementarity, these incidents are not within ICC jurisdiction if Israel conducts genuine investigations into the matter. There is thus still a chance to block international proceedings in this realm.</w:t>
      </w:r>
    </w:p>
    <w:p w14:paraId="79AE3FF9"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On Friday, December 20, 2019, the Prosecutor of the International Criminal Court (ICC) announced her decision to launch an investigation into the "situation in Palestine." The decision relates to all actions taken in the West Bank, East Jerusalem, and the Gaza Strip since June 13, 2014. This announcement marks the end of the preliminary examination that began in January 2015, pursuant to a Court appeal by the Palestinian Authority. Yet along with her ruling, the Prosecutor requested that a Pre-Trial Chamber rule on the scope of territorial jurisdiction in this case.</w:t>
      </w:r>
    </w:p>
    <w:p w14:paraId="2CD9220D" w14:textId="77777777" w:rsidR="00AA3C37" w:rsidRPr="00AA3C37" w:rsidRDefault="00AA3C37" w:rsidP="00AA3C37">
      <w:pPr>
        <w:spacing w:after="0"/>
        <w:rPr>
          <w:rFonts w:ascii="Times New Roman" w:hAnsi="Times New Roman" w:cs="Times New Roman"/>
          <w:sz w:val="24"/>
          <w:szCs w:val="24"/>
        </w:rPr>
      </w:pPr>
    </w:p>
    <w:p w14:paraId="20FC2A76"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Regarding Operation Protective Edge (summer 2014), the Prosecutor states that she has been persuaded that there is reasonable basis to believe that war crimes were committed by IDF forces, among them "intentionally launching disproportionate attacks” and “</w:t>
      </w:r>
      <w:proofErr w:type="spellStart"/>
      <w:r w:rsidRPr="00AA3C37">
        <w:rPr>
          <w:rFonts w:ascii="Times New Roman" w:hAnsi="Times New Roman" w:cs="Times New Roman"/>
          <w:sz w:val="24"/>
          <w:szCs w:val="24"/>
        </w:rPr>
        <w:t>wilful</w:t>
      </w:r>
      <w:proofErr w:type="spellEnd"/>
      <w:r w:rsidRPr="00AA3C37">
        <w:rPr>
          <w:rFonts w:ascii="Times New Roman" w:hAnsi="Times New Roman" w:cs="Times New Roman"/>
          <w:sz w:val="24"/>
          <w:szCs w:val="24"/>
        </w:rPr>
        <w:t xml:space="preserve"> killing and </w:t>
      </w:r>
      <w:proofErr w:type="spellStart"/>
      <w:r w:rsidRPr="00AA3C37">
        <w:rPr>
          <w:rFonts w:ascii="Times New Roman" w:hAnsi="Times New Roman" w:cs="Times New Roman"/>
          <w:sz w:val="24"/>
          <w:szCs w:val="24"/>
        </w:rPr>
        <w:t>wilfully</w:t>
      </w:r>
      <w:proofErr w:type="spellEnd"/>
      <w:r w:rsidRPr="00AA3C37">
        <w:rPr>
          <w:rFonts w:ascii="Times New Roman" w:hAnsi="Times New Roman" w:cs="Times New Roman"/>
          <w:sz w:val="24"/>
          <w:szCs w:val="24"/>
        </w:rPr>
        <w:t xml:space="preserve"> causing serious injury.” In addition, there is a reasonable basis to believe that members of Hamas and Palestinian armed groups committed war crimes, including "intentionally directing attacks against civilians and civilian objects," using civilians as human shields, and committing acts of deliberate killing and torture. The Prosecutor emphasizes that regarding crimes attributed to IDF soldiers there is still insufficient information to rule on the matter of their admissibility for ICC adjudication, as proceedings remain ongoing in Israel, and that the matter will be assessed during the investigation phase. On the other hand, there is no real chance of domestic investigations being conducted into Hamas crimes. This means that if investigatory proceedings and prosecutions are pursued in Israel in response to the alleged conduct attributed to the IDF, it may spell acceptance of the argument that the Court has no jurisdiction over these incidents </w:t>
      </w:r>
      <w:r w:rsidRPr="00AA3C37">
        <w:rPr>
          <w:rFonts w:ascii="Times New Roman" w:hAnsi="Times New Roman" w:cs="Times New Roman"/>
          <w:sz w:val="24"/>
          <w:szCs w:val="24"/>
        </w:rPr>
        <w:lastRenderedPageBreak/>
        <w:t>under the "principle of complementarity," which lends precedence to proceedings conducted in the relevant state.</w:t>
      </w:r>
    </w:p>
    <w:p w14:paraId="04F5AD43" w14:textId="77777777" w:rsidR="00AA3C37" w:rsidRPr="00AA3C37" w:rsidRDefault="00AA3C37" w:rsidP="00AA3C37">
      <w:pPr>
        <w:spacing w:after="0"/>
        <w:rPr>
          <w:rFonts w:ascii="Times New Roman" w:hAnsi="Times New Roman" w:cs="Times New Roman"/>
          <w:sz w:val="24"/>
          <w:szCs w:val="24"/>
        </w:rPr>
      </w:pPr>
    </w:p>
    <w:p w14:paraId="6004A640"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Regarding the settlements, the Prosecutor states that there is reasonable basis to believe that Israeli authorities committed the war crime of transferring Israeli civilians into the West Bank, including East Jerusalem. She notes that since there is no chance of Israel </w:t>
      </w:r>
      <w:proofErr w:type="gramStart"/>
      <w:r w:rsidRPr="00AA3C37">
        <w:rPr>
          <w:rFonts w:ascii="Times New Roman" w:hAnsi="Times New Roman" w:cs="Times New Roman"/>
          <w:sz w:val="24"/>
          <w:szCs w:val="24"/>
        </w:rPr>
        <w:t>conducting an investigation into</w:t>
      </w:r>
      <w:proofErr w:type="gramEnd"/>
      <w:r w:rsidRPr="00AA3C37">
        <w:rPr>
          <w:rFonts w:ascii="Times New Roman" w:hAnsi="Times New Roman" w:cs="Times New Roman"/>
          <w:sz w:val="24"/>
          <w:szCs w:val="24"/>
        </w:rPr>
        <w:t xml:space="preserve"> the matter, an argument of inadmissibility under the principle of complementarity cannot be made in this case.</w:t>
      </w:r>
    </w:p>
    <w:p w14:paraId="2D6AC6F5" w14:textId="77777777" w:rsidR="00AA3C37" w:rsidRPr="00AA3C37" w:rsidRDefault="00AA3C37" w:rsidP="00AA3C37">
      <w:pPr>
        <w:spacing w:after="0"/>
        <w:rPr>
          <w:rFonts w:ascii="Times New Roman" w:hAnsi="Times New Roman" w:cs="Times New Roman"/>
          <w:sz w:val="24"/>
          <w:szCs w:val="24"/>
        </w:rPr>
      </w:pPr>
    </w:p>
    <w:p w14:paraId="745F7972"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Regarding the protests on the Gaza border, according to the Prosecutor, the investigation will also address Israel’s shooting at demonstrators with lethal and non-lethal means. No specific potential criminal count is cited in this context, contrary to the detailing provided in the other cases.</w:t>
      </w:r>
    </w:p>
    <w:p w14:paraId="0DC2FF75" w14:textId="77777777" w:rsidR="00AA3C37" w:rsidRPr="00AA3C37" w:rsidRDefault="00AA3C37" w:rsidP="00AA3C37">
      <w:pPr>
        <w:spacing w:after="0"/>
        <w:rPr>
          <w:rFonts w:ascii="Times New Roman" w:hAnsi="Times New Roman" w:cs="Times New Roman"/>
          <w:sz w:val="24"/>
          <w:szCs w:val="24"/>
        </w:rPr>
      </w:pPr>
    </w:p>
    <w:p w14:paraId="0CCED47E"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The Prosecutor emphasizes that the crimes identified during the preliminary examination are only examples intended to provide a basis for the existence of war crimes that fall within the Court's jurisdiction, and that it is possible that during the investigation additional cases, including new crimes, might be examined.</w:t>
      </w:r>
    </w:p>
    <w:p w14:paraId="75BAA6F5" w14:textId="77777777" w:rsidR="00AA3C37" w:rsidRPr="00AA3C37" w:rsidRDefault="00AA3C37" w:rsidP="00AA3C37">
      <w:pPr>
        <w:spacing w:after="0"/>
        <w:rPr>
          <w:rFonts w:ascii="Times New Roman" w:hAnsi="Times New Roman" w:cs="Times New Roman"/>
          <w:sz w:val="24"/>
          <w:szCs w:val="24"/>
        </w:rPr>
      </w:pPr>
    </w:p>
    <w:p w14:paraId="14A40642"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The Prosecutor notes that though there is no requirement for a Pre-Trial Chamber to authorize the launch of an investigation in this case, as an examination was performed pursuant to an explicit referral by an involved state (Palestine), she requests the Chamber's opinion on the scope of the Court's territorial jurisdiction in the situation in Palestine. Specifically, she seeks confirmation that the “territory” over which the Court may exercise its jurisdiction comprises the “Occupied Palestinian Territory,” that is the West Bank, including East Jerusalem, and the Gaza Strip.</w:t>
      </w:r>
    </w:p>
    <w:p w14:paraId="7390D230" w14:textId="77777777" w:rsidR="00AA3C37" w:rsidRPr="00AA3C37" w:rsidRDefault="00AA3C37" w:rsidP="00AA3C37">
      <w:pPr>
        <w:spacing w:after="0"/>
        <w:rPr>
          <w:rFonts w:ascii="Times New Roman" w:hAnsi="Times New Roman" w:cs="Times New Roman"/>
          <w:sz w:val="24"/>
          <w:szCs w:val="24"/>
        </w:rPr>
      </w:pPr>
    </w:p>
    <w:p w14:paraId="15DC6ED4"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In her legal opinion, the Prosecutor presents the reasons she believes Palestine can be viewed as a state for the purpose of Court jurisdiction. First, she asserts that the UN General Assembly’s acceptance of Palestine as an observer state suffices to that end. Beyond this formal argument, she gives a detailed review of the alternative claim that Palestine also meets the substantive conditions required for statehood under international law. The Prosecutor argues that even though Palestine does not exercise full control over all of the territory of the West Bank and East Jerusalem, which is under Israeli control, and the Gaza Strip, which is under Hamas rule, it should still be recognized as a state in the entirety of the territory on three grounds: first, given the Palestinian people's recognized right to self-determination in the “Occupied Palestinian Territory”; second, given the detrimental impact of Israel's ongoing breaches of international law in building the settlements and the security fence, which impede realization of this right to self-determination; and third, given the fact that 138 States have recognized a state of Palestine.</w:t>
      </w:r>
    </w:p>
    <w:p w14:paraId="44948A5D" w14:textId="77777777" w:rsidR="00AA3C37" w:rsidRPr="00AA3C37" w:rsidRDefault="00AA3C37" w:rsidP="00AA3C37">
      <w:pPr>
        <w:spacing w:after="0"/>
        <w:rPr>
          <w:rFonts w:ascii="Times New Roman" w:hAnsi="Times New Roman" w:cs="Times New Roman"/>
          <w:sz w:val="24"/>
          <w:szCs w:val="24"/>
        </w:rPr>
      </w:pPr>
    </w:p>
    <w:p w14:paraId="118CF957"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The Prosecutor emphasizes that the question of which side is responsible for the current impasse in negotiations is not relevant, as it is clear from Israel's conduct that it does not intend to stop the policy that impedes the implementation of the Palestinians’ right to self-determination and </w:t>
      </w:r>
      <w:r w:rsidRPr="00AA3C37">
        <w:rPr>
          <w:rFonts w:ascii="Times New Roman" w:hAnsi="Times New Roman" w:cs="Times New Roman"/>
          <w:sz w:val="24"/>
          <w:szCs w:val="24"/>
        </w:rPr>
        <w:lastRenderedPageBreak/>
        <w:t>because there are also indications that Israel may seek to annex these territories, as Prime Minister Netanyahu has vowed to do if he is re-elected. The Prosecutor further stresses that treating Palestine as a state is consistent with the object and purpose of the Rome Statute of preventing war criminals from escaping justice, as Israel considers the settlements to be lawful, and as the High Court, despite its recognized independence, ruled the matter “non-justiciable.” The Prosecutor asserts that the limitations on the Palestinian Authority’s criminal jurisdiction, as set out in the Interim Agreement, do not affect possible ICC jurisdiction to discuss any and all crimes committed in the territory of Palestine. In addition, the Palestinian Authority's lack of control over Gaza and the uncertainty regarding the final borders of Palestine do not affect jurisdiction to discuss crimes in territory seen as belonging to this state, even if ultimately there are changes to the border as a result of land swaps with Israel.</w:t>
      </w:r>
    </w:p>
    <w:p w14:paraId="68463321" w14:textId="77777777" w:rsidR="00AA3C37" w:rsidRPr="00AA3C37" w:rsidRDefault="00AA3C37" w:rsidP="00AA3C37">
      <w:pPr>
        <w:spacing w:after="0"/>
        <w:rPr>
          <w:rFonts w:ascii="Times New Roman" w:hAnsi="Times New Roman" w:cs="Times New Roman"/>
          <w:sz w:val="24"/>
          <w:szCs w:val="24"/>
        </w:rPr>
      </w:pPr>
    </w:p>
    <w:p w14:paraId="68245F7D"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From the Prosecutor's analysis it is clear she is convinced that Israel's policy in the territories is illegal and inflicts injustice on the Palestinians. She clearly lends great weight to the decisions of UN bodies, including the General Assembly and the Human Rights Council, which are well-known for their decided anti-Israel bias, and also to the Advisory Opinion of the International Court of Justice regarding the legality of the fence, which includes harsh findings against Israel's policy. She further cites the positions of other parties, such as the European Union, regarding the illegality of the settlements. The Prosecutor attributes little weight to the fact that the issue of the settlements and borders is meant to be decided in negotiations between the sides, and pays no heed to the complex security reality – totally ignoring, for example, the wave of terrorism early in the millennium in her detailed account of the historical background to the conflict.</w:t>
      </w:r>
    </w:p>
    <w:p w14:paraId="56702AD5" w14:textId="77777777" w:rsidR="00AA3C37" w:rsidRPr="00AA3C37" w:rsidRDefault="00AA3C37" w:rsidP="00AA3C37">
      <w:pPr>
        <w:spacing w:after="0"/>
        <w:rPr>
          <w:rFonts w:ascii="Times New Roman" w:hAnsi="Times New Roman" w:cs="Times New Roman"/>
          <w:sz w:val="24"/>
          <w:szCs w:val="24"/>
        </w:rPr>
      </w:pPr>
    </w:p>
    <w:p w14:paraId="282800DA"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The ball is now in the court of the Pre-Trial Chamber, which must give its ruling within 120 days. In the framework of the proceedings there, any interested party can make submissions to the Court. Israel thus has a chance to present its position, though it is not a party to the Rome Statute establishing the Court. However, there is concern that participating in the process will lend it more credibility. A few hours before the Prosecutor’s announcement, Israel’s Justice Ministry and Foreign Ministry published the official Israeli position on the matter. </w:t>
      </w:r>
      <w:proofErr w:type="gramStart"/>
      <w:r w:rsidRPr="00AA3C37">
        <w:rPr>
          <w:rFonts w:ascii="Times New Roman" w:hAnsi="Times New Roman" w:cs="Times New Roman"/>
          <w:sz w:val="24"/>
          <w:szCs w:val="24"/>
        </w:rPr>
        <w:t>It is clear that that</w:t>
      </w:r>
      <w:proofErr w:type="gramEnd"/>
      <w:r w:rsidRPr="00AA3C37">
        <w:rPr>
          <w:rFonts w:ascii="Times New Roman" w:hAnsi="Times New Roman" w:cs="Times New Roman"/>
          <w:sz w:val="24"/>
          <w:szCs w:val="24"/>
        </w:rPr>
        <w:t xml:space="preserve"> this position is intended for the Court when it deliberates its decision as well as for the states and bodies that are likely to present positions before the Court, but without Israel formally taking part in the process itself.</w:t>
      </w:r>
    </w:p>
    <w:p w14:paraId="21B56C03" w14:textId="77777777" w:rsidR="00AA3C37" w:rsidRPr="00AA3C37" w:rsidRDefault="00AA3C37" w:rsidP="00AA3C37">
      <w:pPr>
        <w:spacing w:after="0"/>
        <w:rPr>
          <w:rFonts w:ascii="Times New Roman" w:hAnsi="Times New Roman" w:cs="Times New Roman"/>
          <w:sz w:val="24"/>
          <w:szCs w:val="24"/>
        </w:rPr>
      </w:pPr>
    </w:p>
    <w:p w14:paraId="47FD6723"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Notwithstanding pressure that will undoubtedly be applied on the Court, the Court is more than likely to adopt the Prosecutor’s position that its jurisdiction covers </w:t>
      </w:r>
      <w:proofErr w:type="gramStart"/>
      <w:r w:rsidRPr="00AA3C37">
        <w:rPr>
          <w:rFonts w:ascii="Times New Roman" w:hAnsi="Times New Roman" w:cs="Times New Roman"/>
          <w:sz w:val="24"/>
          <w:szCs w:val="24"/>
        </w:rPr>
        <w:t>all of</w:t>
      </w:r>
      <w:proofErr w:type="gramEnd"/>
      <w:r w:rsidRPr="00AA3C37">
        <w:rPr>
          <w:rFonts w:ascii="Times New Roman" w:hAnsi="Times New Roman" w:cs="Times New Roman"/>
          <w:sz w:val="24"/>
          <w:szCs w:val="24"/>
        </w:rPr>
        <w:t xml:space="preserve"> the “Occupied Palestinian Territories.” The Pre-Trial Chamber bench is fixed, such that these are the same judges who ruled in November 2018 that the Prosecutor must review her decision not to launch an investigation in the Marmara flotilla affair, and which in July 2018 instructed, in unprecedented fashion, that the Court Registry set up an information and outreach mechanism for victims in Palestine while the preliminary examination was still under way. In other words, this is a bench whose attitude toward Israel is, to say the least, unfriendly.</w:t>
      </w:r>
    </w:p>
    <w:p w14:paraId="5F6A7E75" w14:textId="77777777" w:rsidR="00AA3C37" w:rsidRPr="00AA3C37" w:rsidRDefault="00AA3C37" w:rsidP="00AA3C37">
      <w:pPr>
        <w:spacing w:after="0"/>
        <w:rPr>
          <w:rFonts w:ascii="Times New Roman" w:hAnsi="Times New Roman" w:cs="Times New Roman"/>
          <w:sz w:val="24"/>
          <w:szCs w:val="24"/>
        </w:rPr>
      </w:pPr>
    </w:p>
    <w:p w14:paraId="1382390E" w14:textId="77777777" w:rsidR="00AA3C37" w:rsidRPr="00AA3C37"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lastRenderedPageBreak/>
        <w:t>The meaning of an investigation is that Israeli officials, both from the military, at various ranks, and those promoting activities in the settlements, might face criminal proceedings as well as arrest warrants or summons to appear issued against them. An arrest warrant can be issued secretly, without the knowledge of the person subjected to it. An ICC member state is obligated to execute an arrest warrant and transfer the subject to the court in The Hague. There are 122 countries that are parties to the Court, including almost all the countries of Western Europe and the Americas, although not the United States, as well as Australia, Japan, and other countries in Africa and Asia. There is no immunity from the Court for government ministers and heads of state, including those still in office. The significance is that if arrest warrants are issued against senior Israeli figures, their ability to travel to many countries will be circumscribed.</w:t>
      </w:r>
    </w:p>
    <w:p w14:paraId="05D38CCE" w14:textId="77777777" w:rsidR="00AA3C37" w:rsidRPr="00AA3C37" w:rsidRDefault="00AA3C37" w:rsidP="00AA3C37">
      <w:pPr>
        <w:spacing w:after="0"/>
        <w:rPr>
          <w:rFonts w:ascii="Times New Roman" w:hAnsi="Times New Roman" w:cs="Times New Roman"/>
          <w:sz w:val="24"/>
          <w:szCs w:val="24"/>
        </w:rPr>
      </w:pPr>
    </w:p>
    <w:p w14:paraId="6C73E5E7" w14:textId="1FCD6F96" w:rsidR="000075B9" w:rsidRPr="00110058" w:rsidRDefault="00AA3C37" w:rsidP="00AA3C37">
      <w:pPr>
        <w:spacing w:after="0"/>
        <w:rPr>
          <w:rFonts w:ascii="Times New Roman" w:hAnsi="Times New Roman" w:cs="Times New Roman"/>
          <w:sz w:val="24"/>
          <w:szCs w:val="24"/>
        </w:rPr>
      </w:pPr>
      <w:r w:rsidRPr="00AA3C37">
        <w:rPr>
          <w:rFonts w:ascii="Times New Roman" w:hAnsi="Times New Roman" w:cs="Times New Roman"/>
          <w:sz w:val="24"/>
          <w:szCs w:val="24"/>
        </w:rPr>
        <w:t xml:space="preserve">In conclusion, the Prosecutor’s decision is not surprising, per se, as most expectations were that an investigation would be launched into the matter </w:t>
      </w:r>
      <w:proofErr w:type="gramStart"/>
      <w:r w:rsidRPr="00AA3C37">
        <w:rPr>
          <w:rFonts w:ascii="Times New Roman" w:hAnsi="Times New Roman" w:cs="Times New Roman"/>
          <w:sz w:val="24"/>
          <w:szCs w:val="24"/>
        </w:rPr>
        <w:t>in the near future</w:t>
      </w:r>
      <w:proofErr w:type="gramEnd"/>
      <w:r w:rsidRPr="00AA3C37">
        <w:rPr>
          <w:rFonts w:ascii="Times New Roman" w:hAnsi="Times New Roman" w:cs="Times New Roman"/>
          <w:sz w:val="24"/>
          <w:szCs w:val="24"/>
        </w:rPr>
        <w:t xml:space="preserve">. That said, the Prosecutor delved into </w:t>
      </w:r>
      <w:proofErr w:type="gramStart"/>
      <w:r w:rsidRPr="00AA3C37">
        <w:rPr>
          <w:rFonts w:ascii="Times New Roman" w:hAnsi="Times New Roman" w:cs="Times New Roman"/>
          <w:sz w:val="24"/>
          <w:szCs w:val="24"/>
        </w:rPr>
        <w:t>great detail</w:t>
      </w:r>
      <w:proofErr w:type="gramEnd"/>
      <w:r w:rsidRPr="00AA3C37">
        <w:rPr>
          <w:rFonts w:ascii="Times New Roman" w:hAnsi="Times New Roman" w:cs="Times New Roman"/>
          <w:sz w:val="24"/>
          <w:szCs w:val="24"/>
        </w:rPr>
        <w:t>, which was not required at this stage and which was noticeably characterized by a total adoption of the Palestinian narrative on the conflict. The Pre-Trial Chamber, which is meant to rule on the request, is known for its unfriendly positions on Israel. The upshot is that Israel can expect a difficult battle, especially when it comes to the “crime” of the settlements. On the other hand, in relation to Operation Protective Edge, the Prosecutor, who positively noted the independence of Israeli courts, left an opening for an acceptance of the argument that, under the principle of complementarity, purported war crimes do not fall under ICC jurisdiction if Israel conducts genuine investigations into the matter. There is thus still a chance to block international proceedings in this realm. Strong and independent courts are a condition for that.</w:t>
      </w:r>
    </w:p>
    <w:sectPr w:rsidR="000075B9"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075B9"/>
    <w:rsid w:val="0009173D"/>
    <w:rsid w:val="000C492F"/>
    <w:rsid w:val="00110058"/>
    <w:rsid w:val="00154FFF"/>
    <w:rsid w:val="00260EAF"/>
    <w:rsid w:val="003358F7"/>
    <w:rsid w:val="00512472"/>
    <w:rsid w:val="007E657E"/>
    <w:rsid w:val="009A3531"/>
    <w:rsid w:val="00A743B9"/>
    <w:rsid w:val="00AA3C37"/>
    <w:rsid w:val="00B80628"/>
    <w:rsid w:val="00E0708A"/>
    <w:rsid w:val="00E96A39"/>
    <w:rsid w:val="00F3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33069824">
      <w:bodyDiv w:val="1"/>
      <w:marLeft w:val="0"/>
      <w:marRight w:val="0"/>
      <w:marTop w:val="0"/>
      <w:marBottom w:val="0"/>
      <w:divBdr>
        <w:top w:val="none" w:sz="0" w:space="0" w:color="auto"/>
        <w:left w:val="none" w:sz="0" w:space="0" w:color="auto"/>
        <w:bottom w:val="none" w:sz="0" w:space="0" w:color="auto"/>
        <w:right w:val="none" w:sz="0" w:space="0" w:color="auto"/>
      </w:divBdr>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70307135">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542257210">
      <w:bodyDiv w:val="1"/>
      <w:marLeft w:val="0"/>
      <w:marRight w:val="0"/>
      <w:marTop w:val="0"/>
      <w:marBottom w:val="0"/>
      <w:divBdr>
        <w:top w:val="none" w:sz="0" w:space="0" w:color="auto"/>
        <w:left w:val="none" w:sz="0" w:space="0" w:color="auto"/>
        <w:bottom w:val="none" w:sz="0" w:space="0" w:color="auto"/>
        <w:right w:val="none" w:sz="0" w:space="0" w:color="auto"/>
      </w:divBdr>
      <w:divsChild>
        <w:div w:id="813719773">
          <w:marLeft w:val="0"/>
          <w:marRight w:val="0"/>
          <w:marTop w:val="0"/>
          <w:marBottom w:val="0"/>
          <w:divBdr>
            <w:top w:val="none" w:sz="0" w:space="0" w:color="auto"/>
            <w:left w:val="none" w:sz="0" w:space="0" w:color="auto"/>
            <w:bottom w:val="none" w:sz="0" w:space="0" w:color="auto"/>
            <w:right w:val="none" w:sz="0" w:space="0" w:color="auto"/>
          </w:divBdr>
        </w:div>
        <w:div w:id="484930743">
          <w:marLeft w:val="0"/>
          <w:marRight w:val="0"/>
          <w:marTop w:val="0"/>
          <w:marBottom w:val="0"/>
          <w:divBdr>
            <w:top w:val="none" w:sz="0" w:space="0" w:color="auto"/>
            <w:left w:val="none" w:sz="0" w:space="0" w:color="auto"/>
            <w:bottom w:val="none" w:sz="0" w:space="0" w:color="auto"/>
            <w:right w:val="none" w:sz="0" w:space="0" w:color="auto"/>
          </w:divBdr>
        </w:div>
        <w:div w:id="1097560444">
          <w:marLeft w:val="0"/>
          <w:marRight w:val="0"/>
          <w:marTop w:val="0"/>
          <w:marBottom w:val="0"/>
          <w:divBdr>
            <w:top w:val="none" w:sz="0" w:space="0" w:color="auto"/>
            <w:left w:val="none" w:sz="0" w:space="0" w:color="auto"/>
            <w:bottom w:val="none" w:sz="0" w:space="0" w:color="auto"/>
            <w:right w:val="none" w:sz="0" w:space="0" w:color="auto"/>
          </w:divBdr>
        </w:div>
        <w:div w:id="977761274">
          <w:marLeft w:val="0"/>
          <w:marRight w:val="0"/>
          <w:marTop w:val="0"/>
          <w:marBottom w:val="0"/>
          <w:divBdr>
            <w:top w:val="none" w:sz="0" w:space="0" w:color="auto"/>
            <w:left w:val="none" w:sz="0" w:space="0" w:color="auto"/>
            <w:bottom w:val="none" w:sz="0" w:space="0" w:color="auto"/>
            <w:right w:val="none" w:sz="0" w:space="0" w:color="auto"/>
          </w:divBdr>
        </w:div>
        <w:div w:id="1861508070">
          <w:marLeft w:val="0"/>
          <w:marRight w:val="0"/>
          <w:marTop w:val="0"/>
          <w:marBottom w:val="0"/>
          <w:divBdr>
            <w:top w:val="none" w:sz="0" w:space="0" w:color="auto"/>
            <w:left w:val="none" w:sz="0" w:space="0" w:color="auto"/>
            <w:bottom w:val="none" w:sz="0" w:space="0" w:color="auto"/>
            <w:right w:val="none" w:sz="0" w:space="0" w:color="auto"/>
          </w:divBdr>
        </w:div>
        <w:div w:id="607659072">
          <w:marLeft w:val="0"/>
          <w:marRight w:val="0"/>
          <w:marTop w:val="0"/>
          <w:marBottom w:val="0"/>
          <w:divBdr>
            <w:top w:val="none" w:sz="0" w:space="0" w:color="auto"/>
            <w:left w:val="none" w:sz="0" w:space="0" w:color="auto"/>
            <w:bottom w:val="none" w:sz="0" w:space="0" w:color="auto"/>
            <w:right w:val="none" w:sz="0" w:space="0" w:color="auto"/>
          </w:divBdr>
        </w:div>
        <w:div w:id="962998780">
          <w:marLeft w:val="0"/>
          <w:marRight w:val="0"/>
          <w:marTop w:val="0"/>
          <w:marBottom w:val="0"/>
          <w:divBdr>
            <w:top w:val="none" w:sz="0" w:space="0" w:color="auto"/>
            <w:left w:val="none" w:sz="0" w:space="0" w:color="auto"/>
            <w:bottom w:val="none" w:sz="0" w:space="0" w:color="auto"/>
            <w:right w:val="none" w:sz="0" w:space="0" w:color="auto"/>
          </w:divBdr>
        </w:div>
      </w:divsChild>
    </w:div>
    <w:div w:id="584412824">
      <w:bodyDiv w:val="1"/>
      <w:marLeft w:val="0"/>
      <w:marRight w:val="0"/>
      <w:marTop w:val="0"/>
      <w:marBottom w:val="0"/>
      <w:divBdr>
        <w:top w:val="none" w:sz="0" w:space="0" w:color="auto"/>
        <w:left w:val="none" w:sz="0" w:space="0" w:color="auto"/>
        <w:bottom w:val="none" w:sz="0" w:space="0" w:color="auto"/>
        <w:right w:val="none" w:sz="0" w:space="0" w:color="auto"/>
      </w:divBdr>
    </w:div>
    <w:div w:id="614755455">
      <w:bodyDiv w:val="1"/>
      <w:marLeft w:val="0"/>
      <w:marRight w:val="0"/>
      <w:marTop w:val="0"/>
      <w:marBottom w:val="0"/>
      <w:divBdr>
        <w:top w:val="none" w:sz="0" w:space="0" w:color="auto"/>
        <w:left w:val="none" w:sz="0" w:space="0" w:color="auto"/>
        <w:bottom w:val="none" w:sz="0" w:space="0" w:color="auto"/>
        <w:right w:val="none" w:sz="0" w:space="0" w:color="auto"/>
      </w:divBdr>
    </w:div>
    <w:div w:id="617032199">
      <w:bodyDiv w:val="1"/>
      <w:marLeft w:val="0"/>
      <w:marRight w:val="0"/>
      <w:marTop w:val="0"/>
      <w:marBottom w:val="0"/>
      <w:divBdr>
        <w:top w:val="none" w:sz="0" w:space="0" w:color="auto"/>
        <w:left w:val="none" w:sz="0" w:space="0" w:color="auto"/>
        <w:bottom w:val="none" w:sz="0" w:space="0" w:color="auto"/>
        <w:right w:val="none" w:sz="0" w:space="0" w:color="auto"/>
      </w:divBdr>
      <w:divsChild>
        <w:div w:id="488592796">
          <w:marLeft w:val="0"/>
          <w:marRight w:val="0"/>
          <w:marTop w:val="0"/>
          <w:marBottom w:val="0"/>
          <w:divBdr>
            <w:top w:val="none" w:sz="0" w:space="0" w:color="auto"/>
            <w:left w:val="none" w:sz="0" w:space="0" w:color="auto"/>
            <w:bottom w:val="none" w:sz="0" w:space="0" w:color="auto"/>
            <w:right w:val="none" w:sz="0" w:space="0" w:color="auto"/>
          </w:divBdr>
        </w:div>
        <w:div w:id="1537044129">
          <w:marLeft w:val="0"/>
          <w:marRight w:val="0"/>
          <w:marTop w:val="0"/>
          <w:marBottom w:val="0"/>
          <w:divBdr>
            <w:top w:val="none" w:sz="0" w:space="0" w:color="auto"/>
            <w:left w:val="none" w:sz="0" w:space="0" w:color="auto"/>
            <w:bottom w:val="none" w:sz="0" w:space="0" w:color="auto"/>
            <w:right w:val="none" w:sz="0" w:space="0" w:color="auto"/>
          </w:divBdr>
        </w:div>
        <w:div w:id="1170021468">
          <w:marLeft w:val="0"/>
          <w:marRight w:val="0"/>
          <w:marTop w:val="0"/>
          <w:marBottom w:val="0"/>
          <w:divBdr>
            <w:top w:val="none" w:sz="0" w:space="0" w:color="auto"/>
            <w:left w:val="none" w:sz="0" w:space="0" w:color="auto"/>
            <w:bottom w:val="none" w:sz="0" w:space="0" w:color="auto"/>
            <w:right w:val="none" w:sz="0" w:space="0" w:color="auto"/>
          </w:divBdr>
        </w:div>
        <w:div w:id="2042507915">
          <w:marLeft w:val="0"/>
          <w:marRight w:val="0"/>
          <w:marTop w:val="0"/>
          <w:marBottom w:val="0"/>
          <w:divBdr>
            <w:top w:val="none" w:sz="0" w:space="0" w:color="auto"/>
            <w:left w:val="none" w:sz="0" w:space="0" w:color="auto"/>
            <w:bottom w:val="none" w:sz="0" w:space="0" w:color="auto"/>
            <w:right w:val="none" w:sz="0" w:space="0" w:color="auto"/>
          </w:divBdr>
        </w:div>
        <w:div w:id="228421028">
          <w:marLeft w:val="0"/>
          <w:marRight w:val="0"/>
          <w:marTop w:val="0"/>
          <w:marBottom w:val="0"/>
          <w:divBdr>
            <w:top w:val="none" w:sz="0" w:space="0" w:color="auto"/>
            <w:left w:val="none" w:sz="0" w:space="0" w:color="auto"/>
            <w:bottom w:val="none" w:sz="0" w:space="0" w:color="auto"/>
            <w:right w:val="none" w:sz="0" w:space="0" w:color="auto"/>
          </w:divBdr>
        </w:div>
        <w:div w:id="1648127694">
          <w:marLeft w:val="0"/>
          <w:marRight w:val="0"/>
          <w:marTop w:val="0"/>
          <w:marBottom w:val="0"/>
          <w:divBdr>
            <w:top w:val="none" w:sz="0" w:space="0" w:color="auto"/>
            <w:left w:val="none" w:sz="0" w:space="0" w:color="auto"/>
            <w:bottom w:val="none" w:sz="0" w:space="0" w:color="auto"/>
            <w:right w:val="none" w:sz="0" w:space="0" w:color="auto"/>
          </w:divBdr>
        </w:div>
        <w:div w:id="1820152881">
          <w:marLeft w:val="0"/>
          <w:marRight w:val="0"/>
          <w:marTop w:val="0"/>
          <w:marBottom w:val="0"/>
          <w:divBdr>
            <w:top w:val="none" w:sz="0" w:space="0" w:color="auto"/>
            <w:left w:val="none" w:sz="0" w:space="0" w:color="auto"/>
            <w:bottom w:val="none" w:sz="0" w:space="0" w:color="auto"/>
            <w:right w:val="none" w:sz="0" w:space="0" w:color="auto"/>
          </w:divBdr>
        </w:div>
        <w:div w:id="2088258158">
          <w:marLeft w:val="0"/>
          <w:marRight w:val="0"/>
          <w:marTop w:val="0"/>
          <w:marBottom w:val="0"/>
          <w:divBdr>
            <w:top w:val="none" w:sz="0" w:space="0" w:color="auto"/>
            <w:left w:val="none" w:sz="0" w:space="0" w:color="auto"/>
            <w:bottom w:val="none" w:sz="0" w:space="0" w:color="auto"/>
            <w:right w:val="none" w:sz="0" w:space="0" w:color="auto"/>
          </w:divBdr>
        </w:div>
        <w:div w:id="102581145">
          <w:marLeft w:val="0"/>
          <w:marRight w:val="0"/>
          <w:marTop w:val="0"/>
          <w:marBottom w:val="0"/>
          <w:divBdr>
            <w:top w:val="none" w:sz="0" w:space="0" w:color="auto"/>
            <w:left w:val="none" w:sz="0" w:space="0" w:color="auto"/>
            <w:bottom w:val="none" w:sz="0" w:space="0" w:color="auto"/>
            <w:right w:val="none" w:sz="0" w:space="0" w:color="auto"/>
          </w:divBdr>
        </w:div>
        <w:div w:id="1665157450">
          <w:marLeft w:val="0"/>
          <w:marRight w:val="0"/>
          <w:marTop w:val="0"/>
          <w:marBottom w:val="0"/>
          <w:divBdr>
            <w:top w:val="none" w:sz="0" w:space="0" w:color="auto"/>
            <w:left w:val="none" w:sz="0" w:space="0" w:color="auto"/>
            <w:bottom w:val="none" w:sz="0" w:space="0" w:color="auto"/>
            <w:right w:val="none" w:sz="0" w:space="0" w:color="auto"/>
          </w:divBdr>
        </w:div>
        <w:div w:id="697698913">
          <w:marLeft w:val="0"/>
          <w:marRight w:val="0"/>
          <w:marTop w:val="0"/>
          <w:marBottom w:val="0"/>
          <w:divBdr>
            <w:top w:val="none" w:sz="0" w:space="0" w:color="auto"/>
            <w:left w:val="none" w:sz="0" w:space="0" w:color="auto"/>
            <w:bottom w:val="none" w:sz="0" w:space="0" w:color="auto"/>
            <w:right w:val="none" w:sz="0" w:space="0" w:color="auto"/>
          </w:divBdr>
        </w:div>
      </w:divsChild>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58851236">
      <w:bodyDiv w:val="1"/>
      <w:marLeft w:val="0"/>
      <w:marRight w:val="0"/>
      <w:marTop w:val="0"/>
      <w:marBottom w:val="0"/>
      <w:divBdr>
        <w:top w:val="none" w:sz="0" w:space="0" w:color="auto"/>
        <w:left w:val="none" w:sz="0" w:space="0" w:color="auto"/>
        <w:bottom w:val="none" w:sz="0" w:space="0" w:color="auto"/>
        <w:right w:val="none" w:sz="0" w:space="0" w:color="auto"/>
      </w:divBdr>
    </w:div>
    <w:div w:id="660549590">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52969350">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993341211">
      <w:bodyDiv w:val="1"/>
      <w:marLeft w:val="0"/>
      <w:marRight w:val="0"/>
      <w:marTop w:val="0"/>
      <w:marBottom w:val="0"/>
      <w:divBdr>
        <w:top w:val="none" w:sz="0" w:space="0" w:color="auto"/>
        <w:left w:val="none" w:sz="0" w:space="0" w:color="auto"/>
        <w:bottom w:val="none" w:sz="0" w:space="0" w:color="auto"/>
        <w:right w:val="none" w:sz="0" w:space="0" w:color="auto"/>
      </w:divBdr>
    </w:div>
    <w:div w:id="1029142827">
      <w:bodyDiv w:val="1"/>
      <w:marLeft w:val="0"/>
      <w:marRight w:val="0"/>
      <w:marTop w:val="0"/>
      <w:marBottom w:val="0"/>
      <w:divBdr>
        <w:top w:val="none" w:sz="0" w:space="0" w:color="auto"/>
        <w:left w:val="none" w:sz="0" w:space="0" w:color="auto"/>
        <w:bottom w:val="none" w:sz="0" w:space="0" w:color="auto"/>
        <w:right w:val="none" w:sz="0" w:space="0" w:color="auto"/>
      </w:divBdr>
    </w:div>
    <w:div w:id="1029720793">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055206233">
      <w:bodyDiv w:val="1"/>
      <w:marLeft w:val="0"/>
      <w:marRight w:val="0"/>
      <w:marTop w:val="0"/>
      <w:marBottom w:val="0"/>
      <w:divBdr>
        <w:top w:val="none" w:sz="0" w:space="0" w:color="auto"/>
        <w:left w:val="none" w:sz="0" w:space="0" w:color="auto"/>
        <w:bottom w:val="none" w:sz="0" w:space="0" w:color="auto"/>
        <w:right w:val="none" w:sz="0" w:space="0" w:color="auto"/>
      </w:divBdr>
    </w:div>
    <w:div w:id="1058892314">
      <w:bodyDiv w:val="1"/>
      <w:marLeft w:val="0"/>
      <w:marRight w:val="0"/>
      <w:marTop w:val="0"/>
      <w:marBottom w:val="0"/>
      <w:divBdr>
        <w:top w:val="none" w:sz="0" w:space="0" w:color="auto"/>
        <w:left w:val="none" w:sz="0" w:space="0" w:color="auto"/>
        <w:bottom w:val="none" w:sz="0" w:space="0" w:color="auto"/>
        <w:right w:val="none" w:sz="0" w:space="0" w:color="auto"/>
      </w:divBdr>
    </w:div>
    <w:div w:id="1084686540">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05021433">
      <w:bodyDiv w:val="1"/>
      <w:marLeft w:val="0"/>
      <w:marRight w:val="0"/>
      <w:marTop w:val="0"/>
      <w:marBottom w:val="0"/>
      <w:divBdr>
        <w:top w:val="none" w:sz="0" w:space="0" w:color="auto"/>
        <w:left w:val="none" w:sz="0" w:space="0" w:color="auto"/>
        <w:bottom w:val="none" w:sz="0" w:space="0" w:color="auto"/>
        <w:right w:val="none" w:sz="0" w:space="0" w:color="auto"/>
      </w:divBdr>
    </w:div>
    <w:div w:id="1210916633">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397899022">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707946788">
      <w:bodyDiv w:val="1"/>
      <w:marLeft w:val="0"/>
      <w:marRight w:val="0"/>
      <w:marTop w:val="0"/>
      <w:marBottom w:val="0"/>
      <w:divBdr>
        <w:top w:val="none" w:sz="0" w:space="0" w:color="auto"/>
        <w:left w:val="none" w:sz="0" w:space="0" w:color="auto"/>
        <w:bottom w:val="none" w:sz="0" w:space="0" w:color="auto"/>
        <w:right w:val="none" w:sz="0" w:space="0" w:color="auto"/>
      </w:divBdr>
    </w:div>
    <w:div w:id="1870484029">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028940430">
      <w:bodyDiv w:val="1"/>
      <w:marLeft w:val="0"/>
      <w:marRight w:val="0"/>
      <w:marTop w:val="0"/>
      <w:marBottom w:val="0"/>
      <w:divBdr>
        <w:top w:val="none" w:sz="0" w:space="0" w:color="auto"/>
        <w:left w:val="none" w:sz="0" w:space="0" w:color="auto"/>
        <w:bottom w:val="none" w:sz="0" w:space="0" w:color="auto"/>
        <w:right w:val="none" w:sz="0" w:space="0" w:color="auto"/>
      </w:divBdr>
      <w:divsChild>
        <w:div w:id="209269646">
          <w:marLeft w:val="0"/>
          <w:marRight w:val="0"/>
          <w:marTop w:val="0"/>
          <w:marBottom w:val="0"/>
          <w:divBdr>
            <w:top w:val="none" w:sz="0" w:space="0" w:color="auto"/>
            <w:left w:val="none" w:sz="0" w:space="0" w:color="auto"/>
            <w:bottom w:val="none" w:sz="0" w:space="0" w:color="auto"/>
            <w:right w:val="none" w:sz="0" w:space="0" w:color="auto"/>
          </w:divBdr>
        </w:div>
      </w:divsChild>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s.org.il/publication/the-international-criminal-court-on-israel-another-step-toward-investig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2019-12-29T16:43:00Z</dcterms:created>
  <dcterms:modified xsi:type="dcterms:W3CDTF">2019-12-29T16:43:00Z</dcterms:modified>
</cp:coreProperties>
</file>