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0136" w14:textId="77777777" w:rsidR="0044598C" w:rsidRPr="0044598C" w:rsidRDefault="0044598C" w:rsidP="0044598C">
      <w:pPr>
        <w:rPr>
          <w:rFonts w:asciiTheme="majorBidi" w:hAnsiTheme="majorBidi" w:cstheme="majorBidi"/>
          <w:sz w:val="40"/>
          <w:szCs w:val="40"/>
        </w:rPr>
      </w:pPr>
      <w:r w:rsidRPr="0044598C">
        <w:rPr>
          <w:rFonts w:asciiTheme="majorBidi" w:hAnsiTheme="majorBidi" w:cstheme="majorBidi"/>
          <w:sz w:val="40"/>
          <w:szCs w:val="40"/>
        </w:rPr>
        <w:t>Situation in the State of Palestine: ICC Pre-Trial Chamber I issues warrant of arrest for Mohammed Diab Ibrahim Al-Masri (Deif)</w:t>
      </w:r>
    </w:p>
    <w:p w14:paraId="184A2EAA" w14:textId="77777777" w:rsidR="0044598C" w:rsidRPr="0044598C" w:rsidRDefault="0044598C" w:rsidP="0044598C">
      <w:pPr>
        <w:rPr>
          <w:rFonts w:asciiTheme="majorBidi" w:hAnsiTheme="majorBidi" w:cstheme="majorBidi"/>
        </w:rPr>
      </w:pPr>
      <w:r w:rsidRPr="0044598C">
        <w:rPr>
          <w:rFonts w:asciiTheme="majorBidi" w:hAnsiTheme="majorBidi" w:cstheme="majorBidi"/>
        </w:rPr>
        <w:t>November 21, 2024</w:t>
      </w:r>
    </w:p>
    <w:p w14:paraId="6381471E" w14:textId="4BE7A6CD" w:rsidR="0044598C" w:rsidRPr="0044598C" w:rsidRDefault="0044598C" w:rsidP="0044598C">
      <w:pPr>
        <w:rPr>
          <w:rFonts w:asciiTheme="majorBidi" w:hAnsiTheme="majorBidi" w:cstheme="majorBidi"/>
        </w:rPr>
      </w:pPr>
      <w:hyperlink r:id="rId4" w:history="1">
        <w:r w:rsidRPr="0044598C">
          <w:rPr>
            <w:rStyle w:val="Hyperlink"/>
            <w:rFonts w:asciiTheme="majorBidi" w:hAnsiTheme="majorBidi" w:cstheme="majorBidi"/>
          </w:rPr>
          <w:t>https://www.icc-cpi.int/news/situation-state-palestine-icc-pre-trial-chamber-i-issues-warrant-arrest-mohammed-diab-ibrahim</w:t>
        </w:r>
      </w:hyperlink>
    </w:p>
    <w:p w14:paraId="27D9227A" w14:textId="5BF86681" w:rsidR="0044598C" w:rsidRPr="0044598C" w:rsidRDefault="0044598C" w:rsidP="0044598C">
      <w:pPr>
        <w:rPr>
          <w:rFonts w:asciiTheme="majorBidi" w:hAnsiTheme="majorBidi" w:cstheme="majorBidi"/>
        </w:rPr>
      </w:pPr>
      <w:r w:rsidRPr="0044598C">
        <w:rPr>
          <w:rFonts w:asciiTheme="majorBidi" w:hAnsiTheme="majorBidi" w:cstheme="majorBidi"/>
        </w:rPr>
        <w:t>Today, on 21 November 2024, Pre-Trial Chamber I of the International Criminal Court (‘Court’), in its composition for the </w:t>
      </w:r>
      <w:r w:rsidRPr="0044598C">
        <w:rPr>
          <w:rFonts w:asciiTheme="majorBidi" w:hAnsiTheme="majorBidi" w:cstheme="majorBidi"/>
          <w:i/>
          <w:iCs/>
        </w:rPr>
        <w:t>Situation in the State of Palestine</w:t>
      </w:r>
      <w:r w:rsidRPr="0044598C">
        <w:rPr>
          <w:rFonts w:asciiTheme="majorBidi" w:hAnsiTheme="majorBidi" w:cstheme="majorBidi"/>
        </w:rPr>
        <w:t xml:space="preserve">, unanimously issued a warrant of arrest for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Mohammed Diab Ibrahim Al-Masri, commonly known as ‘Deif’, for alleged crimes against humanity and war crimes committed on the territory of the State of Israel and the State of Palestine from at least 7 October 2023.</w:t>
      </w:r>
    </w:p>
    <w:p w14:paraId="500C70C5" w14:textId="77777777" w:rsidR="0044598C" w:rsidRPr="0044598C" w:rsidRDefault="0044598C" w:rsidP="0044598C">
      <w:pPr>
        <w:rPr>
          <w:rFonts w:asciiTheme="majorBidi" w:hAnsiTheme="majorBidi" w:cstheme="majorBidi"/>
        </w:rPr>
      </w:pPr>
      <w:r w:rsidRPr="0044598C">
        <w:rPr>
          <w:rFonts w:asciiTheme="majorBidi" w:hAnsiTheme="majorBidi" w:cstheme="majorBidi"/>
        </w:rPr>
        <w:t xml:space="preserve">The Prosecution had initially filed applications for warrants of arrest for two other senior leaders of Hamas, namely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Ismail Haniyeh and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Yahya Sinwar. Following confirmation of their deaths, the Chamber granted the withdrawal of the applications on 9 August 2024 and 25 October 2024, respectively. With respect to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Deif, the Prosecution indicated that it would continue to gather information with respect to his reported death. On 15 November 2024, the Prosecution, referring to information from both the Israeli and Palestinian authorities, notified the Chamber that it is not in a position to determine whether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Deif has been killed or remains alive. Therefore, the Chamber issues the present warrant of arrest. The Prosecution also noted that it continues to investigate the crimes in the ongoing conflict and envisions that further applications for warrants of arrest will be submitted.</w:t>
      </w:r>
    </w:p>
    <w:p w14:paraId="084F163A" w14:textId="77777777" w:rsidR="0044598C" w:rsidRPr="0044598C" w:rsidRDefault="0044598C" w:rsidP="0044598C">
      <w:pPr>
        <w:rPr>
          <w:rFonts w:asciiTheme="majorBidi" w:hAnsiTheme="majorBidi" w:cstheme="majorBidi"/>
        </w:rPr>
      </w:pPr>
      <w:r w:rsidRPr="0044598C">
        <w:rPr>
          <w:rFonts w:asciiTheme="majorBidi" w:hAnsiTheme="majorBidi" w:cstheme="majorBidi"/>
        </w:rPr>
        <w:t xml:space="preserve">The warrant of arrest for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Deif is classified as ‘secret’ in order to protect witnesses and to safeguard the conduct of investigations. However, the Chamber decided to release the information below since conduct similar to that addressed in the warrant of arrest appears to be ongoing, in particular the holding of a number of hostages captive. The Chamber considers it is also in the interest of victims and their families to be aware of the warrant’s existence.</w:t>
      </w:r>
    </w:p>
    <w:p w14:paraId="5D146EAF" w14:textId="77777777" w:rsidR="0044598C" w:rsidRPr="0044598C" w:rsidRDefault="0044598C" w:rsidP="0044598C">
      <w:pPr>
        <w:rPr>
          <w:rFonts w:asciiTheme="majorBidi" w:hAnsiTheme="majorBidi" w:cstheme="majorBidi"/>
        </w:rPr>
      </w:pPr>
      <w:r w:rsidRPr="0044598C">
        <w:rPr>
          <w:rFonts w:asciiTheme="majorBidi" w:hAnsiTheme="majorBidi" w:cstheme="majorBidi"/>
        </w:rPr>
        <w:t xml:space="preserve">The Chamber found reasonable grounds to believe that </w:t>
      </w:r>
      <w:proofErr w:type="spellStart"/>
      <w:r w:rsidRPr="0044598C">
        <w:rPr>
          <w:rFonts w:asciiTheme="majorBidi" w:hAnsiTheme="majorBidi" w:cstheme="majorBidi"/>
        </w:rPr>
        <w:t>Mr</w:t>
      </w:r>
      <w:proofErr w:type="spellEnd"/>
      <w:r w:rsidRPr="0044598C">
        <w:rPr>
          <w:rFonts w:asciiTheme="majorBidi" w:hAnsiTheme="majorBidi" w:cstheme="majorBidi"/>
        </w:rPr>
        <w:t> Deif, born in 1965, the highest commander of the military wing of Hamas (known as the </w:t>
      </w:r>
      <w:r w:rsidRPr="0044598C">
        <w:rPr>
          <w:rFonts w:asciiTheme="majorBidi" w:hAnsiTheme="majorBidi" w:cstheme="majorBidi"/>
          <w:i/>
          <w:iCs/>
        </w:rPr>
        <w:t>al-Qassam Brigades</w:t>
      </w:r>
      <w:r w:rsidRPr="0044598C">
        <w:rPr>
          <w:rFonts w:asciiTheme="majorBidi" w:hAnsiTheme="majorBidi" w:cstheme="majorBidi"/>
        </w:rPr>
        <w:t>) at the time of the alleged conduct, is responsible for the crimes against humanity of murder; extermination; torture; and rape and other form of sexual violence; as well as the war crimes of murder, cruel treatment, torture,; taking hostages; outrages upon personal dignity; and rape and other form of sexual violence.</w:t>
      </w:r>
    </w:p>
    <w:p w14:paraId="73E71194" w14:textId="77777777" w:rsidR="0044598C" w:rsidRPr="0044598C" w:rsidRDefault="0044598C" w:rsidP="0044598C">
      <w:pPr>
        <w:rPr>
          <w:rFonts w:asciiTheme="majorBidi" w:hAnsiTheme="majorBidi" w:cstheme="majorBidi"/>
        </w:rPr>
      </w:pPr>
      <w:r w:rsidRPr="0044598C">
        <w:rPr>
          <w:rFonts w:asciiTheme="majorBidi" w:hAnsiTheme="majorBidi" w:cstheme="majorBidi"/>
        </w:rPr>
        <w:t xml:space="preserve">The Chamber found reasonable grounds to believe that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Deif bears criminal responsibility for the aforementioned crimes for (</w:t>
      </w:r>
      <w:proofErr w:type="spellStart"/>
      <w:r w:rsidRPr="0044598C">
        <w:rPr>
          <w:rFonts w:asciiTheme="majorBidi" w:hAnsiTheme="majorBidi" w:cstheme="majorBidi"/>
        </w:rPr>
        <w:t>i</w:t>
      </w:r>
      <w:proofErr w:type="spellEnd"/>
      <w:r w:rsidRPr="0044598C">
        <w:rPr>
          <w:rFonts w:asciiTheme="majorBidi" w:hAnsiTheme="majorBidi" w:cstheme="majorBidi"/>
        </w:rPr>
        <w:t xml:space="preserve">) having committed the acts jointly and through others and (ii) </w:t>
      </w:r>
      <w:r w:rsidRPr="0044598C">
        <w:rPr>
          <w:rFonts w:asciiTheme="majorBidi" w:hAnsiTheme="majorBidi" w:cstheme="majorBidi"/>
        </w:rPr>
        <w:lastRenderedPageBreak/>
        <w:t>having ordered or induced the commission of the crimes, and (iii) for his failure to exercise proper control over forces under his effective command and control.</w:t>
      </w:r>
    </w:p>
    <w:p w14:paraId="029A4B16" w14:textId="77777777" w:rsidR="0044598C" w:rsidRPr="0044598C" w:rsidRDefault="0044598C" w:rsidP="0044598C">
      <w:pPr>
        <w:rPr>
          <w:rFonts w:asciiTheme="majorBidi" w:hAnsiTheme="majorBidi" w:cstheme="majorBidi"/>
        </w:rPr>
      </w:pPr>
      <w:r w:rsidRPr="0044598C">
        <w:rPr>
          <w:rFonts w:asciiTheme="majorBidi" w:hAnsiTheme="majorBidi" w:cstheme="majorBidi"/>
        </w:rPr>
        <w:t>The Chamber found reasonable grounds to believe that during the relevant time, international humanitarian law related to international armed conflict (between Israel and Palestine) and non-international armed conflict (between Israel and Hamas) applied. The Chamber also found that there are reasonable grounds to believe that the crimes against humanity were part of a widespread and systematic attack directed by Hamas and other armed groups against the civilian population of Israel.</w:t>
      </w:r>
    </w:p>
    <w:p w14:paraId="743F4941" w14:textId="77777777" w:rsidR="0044598C" w:rsidRPr="0044598C" w:rsidRDefault="0044598C" w:rsidP="0044598C">
      <w:pPr>
        <w:rPr>
          <w:rFonts w:asciiTheme="majorBidi" w:hAnsiTheme="majorBidi" w:cstheme="majorBidi"/>
        </w:rPr>
      </w:pPr>
      <w:r w:rsidRPr="0044598C">
        <w:rPr>
          <w:rFonts w:asciiTheme="majorBidi" w:hAnsiTheme="majorBidi" w:cstheme="majorBidi"/>
        </w:rPr>
        <w:t>Alleged crimes</w:t>
      </w:r>
    </w:p>
    <w:p w14:paraId="3AEA40A5" w14:textId="77777777" w:rsidR="0044598C" w:rsidRPr="0044598C" w:rsidRDefault="0044598C" w:rsidP="0044598C">
      <w:pPr>
        <w:rPr>
          <w:rFonts w:asciiTheme="majorBidi" w:hAnsiTheme="majorBidi" w:cstheme="majorBidi"/>
        </w:rPr>
      </w:pPr>
      <w:r w:rsidRPr="0044598C">
        <w:rPr>
          <w:rFonts w:asciiTheme="majorBidi" w:hAnsiTheme="majorBidi" w:cstheme="majorBidi"/>
        </w:rPr>
        <w:t>With regard to the crimes, the Chamber found reasonable grounds to believe that on 7 October 2023, shortly after a large number of rockets triggered the ‘</w:t>
      </w:r>
      <w:proofErr w:type="spellStart"/>
      <w:r w:rsidRPr="0044598C">
        <w:rPr>
          <w:rFonts w:asciiTheme="majorBidi" w:hAnsiTheme="majorBidi" w:cstheme="majorBidi"/>
          <w:i/>
          <w:iCs/>
        </w:rPr>
        <w:t>Tzeva</w:t>
      </w:r>
      <w:proofErr w:type="spellEnd"/>
      <w:r w:rsidRPr="0044598C">
        <w:rPr>
          <w:rFonts w:asciiTheme="majorBidi" w:hAnsiTheme="majorBidi" w:cstheme="majorBidi"/>
          <w:i/>
          <w:iCs/>
        </w:rPr>
        <w:t xml:space="preserve"> Adom</w:t>
      </w:r>
      <w:r w:rsidRPr="0044598C">
        <w:rPr>
          <w:rFonts w:asciiTheme="majorBidi" w:hAnsiTheme="majorBidi" w:cstheme="majorBidi"/>
        </w:rPr>
        <w:t>’ alarm in several communities in Israel around 6:20-6:30 am, armed men entered these communities, as well as the site of the Supernova festival, a music event with a few thousand participants (‘7 October Operation’). Members of Hamas, notably fighters of the </w:t>
      </w:r>
      <w:r w:rsidRPr="0044598C">
        <w:rPr>
          <w:rFonts w:asciiTheme="majorBidi" w:hAnsiTheme="majorBidi" w:cstheme="majorBidi"/>
          <w:i/>
          <w:iCs/>
        </w:rPr>
        <w:t>al-Qassam </w:t>
      </w:r>
      <w:r w:rsidRPr="0044598C">
        <w:rPr>
          <w:rFonts w:asciiTheme="majorBidi" w:hAnsiTheme="majorBidi" w:cstheme="majorBidi"/>
        </w:rPr>
        <w:t>Brigades, carried out mass killings at and/or around the communities of Kfar Aza, Holit, Nir Oz, Be’eri, and Nahal Oz, as well as at the Supernova festival. The attackers, for example, fired at people while they were seeking shelter and threw grenades at them. Hamas fighters followed similar patterns in other locations and killed further persons. These killings qualify as the crime against humanity and the war crime of murder.</w:t>
      </w:r>
    </w:p>
    <w:p w14:paraId="47BED86D" w14:textId="77777777" w:rsidR="0044598C" w:rsidRPr="0044598C" w:rsidRDefault="0044598C" w:rsidP="0044598C">
      <w:pPr>
        <w:rPr>
          <w:rFonts w:asciiTheme="majorBidi" w:hAnsiTheme="majorBidi" w:cstheme="majorBidi"/>
        </w:rPr>
      </w:pPr>
      <w:r w:rsidRPr="0044598C">
        <w:rPr>
          <w:rFonts w:asciiTheme="majorBidi" w:hAnsiTheme="majorBidi" w:cstheme="majorBidi"/>
        </w:rPr>
        <w:t>The Chamber also found that in some locations, namely at the site of the Supernova festival and in the vicinity thereof, attackers fired at people with semi-automatic weapons and/or rocket-propelled grenades. In light of this, the Chamber concluded that there are reasonable grounds to believe that the war crime of intentionally directing attacks against civilians was committed.</w:t>
      </w:r>
    </w:p>
    <w:p w14:paraId="7F81A94E" w14:textId="77777777" w:rsidR="0044598C" w:rsidRPr="0044598C" w:rsidRDefault="0044598C" w:rsidP="0044598C">
      <w:pPr>
        <w:rPr>
          <w:rFonts w:asciiTheme="majorBidi" w:hAnsiTheme="majorBidi" w:cstheme="majorBidi"/>
        </w:rPr>
      </w:pPr>
      <w:r w:rsidRPr="0044598C">
        <w:rPr>
          <w:rFonts w:asciiTheme="majorBidi" w:hAnsiTheme="majorBidi" w:cstheme="majorBidi"/>
        </w:rPr>
        <w:t>In light of the coordinated killings of members of civilians at several separate locations, the Chamber also found that the conduct took place as part of a mass killing of members of the civilian population, and it therefore concluded that there are reasonable grounds to believe that the crime against humanity of extermination was committed.</w:t>
      </w:r>
    </w:p>
    <w:p w14:paraId="2C492221" w14:textId="77777777" w:rsidR="0044598C" w:rsidRPr="0044598C" w:rsidRDefault="0044598C" w:rsidP="0044598C">
      <w:pPr>
        <w:rPr>
          <w:rFonts w:asciiTheme="majorBidi" w:hAnsiTheme="majorBidi" w:cstheme="majorBidi"/>
        </w:rPr>
      </w:pPr>
      <w:r w:rsidRPr="0044598C">
        <w:rPr>
          <w:rFonts w:asciiTheme="majorBidi" w:hAnsiTheme="majorBidi" w:cstheme="majorBidi"/>
        </w:rPr>
        <w:t xml:space="preserve">Furthermore, in the context of 7 October Operation, the Chamber found that a large number of persons were seized from various locations in Israel, including Kfar Aza, Holit, Nir Oz, Be’eri, Nahal Oz, and the Supernova festival. The victims were civilians, including children and elderly people, as well as members of the IDF (Israeli </w:t>
      </w:r>
      <w:proofErr w:type="spellStart"/>
      <w:r w:rsidRPr="0044598C">
        <w:rPr>
          <w:rFonts w:asciiTheme="majorBidi" w:hAnsiTheme="majorBidi" w:cstheme="majorBidi"/>
        </w:rPr>
        <w:t>Defence</w:t>
      </w:r>
      <w:proofErr w:type="spellEnd"/>
      <w:r w:rsidRPr="0044598C">
        <w:rPr>
          <w:rFonts w:asciiTheme="majorBidi" w:hAnsiTheme="majorBidi" w:cstheme="majorBidi"/>
        </w:rPr>
        <w:t xml:space="preserve"> Forces). After being taken to Gaza, most of them were detained in secret locations, including apartments and underground tunnels. A number of groups participated in seizing and detaining these persons: the </w:t>
      </w:r>
      <w:r w:rsidRPr="0044598C">
        <w:rPr>
          <w:rFonts w:asciiTheme="majorBidi" w:hAnsiTheme="majorBidi" w:cstheme="majorBidi"/>
          <w:i/>
          <w:iCs/>
        </w:rPr>
        <w:t>al-Qassam</w:t>
      </w:r>
      <w:r w:rsidRPr="0044598C">
        <w:rPr>
          <w:rFonts w:asciiTheme="majorBidi" w:hAnsiTheme="majorBidi" w:cstheme="majorBidi"/>
        </w:rPr>
        <w:t> Brigades, the Palestinian Islamic Jihad </w:t>
      </w:r>
      <w:r w:rsidRPr="0044598C">
        <w:rPr>
          <w:rFonts w:asciiTheme="majorBidi" w:hAnsiTheme="majorBidi" w:cstheme="majorBidi"/>
          <w:i/>
          <w:iCs/>
        </w:rPr>
        <w:t>al-Quds</w:t>
      </w:r>
      <w:r w:rsidRPr="0044598C">
        <w:rPr>
          <w:rFonts w:asciiTheme="majorBidi" w:hAnsiTheme="majorBidi" w:cstheme="majorBidi"/>
        </w:rPr>
        <w:t xml:space="preserve">, and other Palestinian armed groups. The Chamber found that Hamas was in control of the hostages as of the start of their detention in Gaza, irrespective of the group affiliation of the individuals initially seizing the hostages. The Chamber also found that hostage taking in the context of the 7 October Operation was conducted with the aim to </w:t>
      </w:r>
      <w:r w:rsidRPr="0044598C">
        <w:rPr>
          <w:rFonts w:asciiTheme="majorBidi" w:hAnsiTheme="majorBidi" w:cstheme="majorBidi"/>
        </w:rPr>
        <w:lastRenderedPageBreak/>
        <w:t>negotiate their release in exchange for Palestinian prisoners held in Israel. In light of the above, the Chamber considered that there are reasonable grounds to believe that the war crime of hostage taking was committed.</w:t>
      </w:r>
    </w:p>
    <w:p w14:paraId="0CAF0B28" w14:textId="77777777" w:rsidR="0044598C" w:rsidRPr="0044598C" w:rsidRDefault="0044598C" w:rsidP="0044598C">
      <w:pPr>
        <w:rPr>
          <w:rFonts w:asciiTheme="majorBidi" w:hAnsiTheme="majorBidi" w:cstheme="majorBidi"/>
        </w:rPr>
      </w:pPr>
      <w:r w:rsidRPr="0044598C">
        <w:rPr>
          <w:rFonts w:asciiTheme="majorBidi" w:hAnsiTheme="majorBidi" w:cstheme="majorBidi"/>
        </w:rPr>
        <w:t xml:space="preserve">The Chamber further found that, while they were held captive in Gaza, some hostages, predominantly women, were subjected to sexual and </w:t>
      </w:r>
      <w:proofErr w:type="gramStart"/>
      <w:r w:rsidRPr="0044598C">
        <w:rPr>
          <w:rFonts w:asciiTheme="majorBidi" w:hAnsiTheme="majorBidi" w:cstheme="majorBidi"/>
        </w:rPr>
        <w:t>gender based</w:t>
      </w:r>
      <w:proofErr w:type="gramEnd"/>
      <w:r w:rsidRPr="0044598C">
        <w:rPr>
          <w:rFonts w:asciiTheme="majorBidi" w:hAnsiTheme="majorBidi" w:cstheme="majorBidi"/>
        </w:rPr>
        <w:t xml:space="preserve"> violence, including forced penetration, forced nudity, and humiliating and degrading treatment. On the basis of the material presented, the Chamber found reasonable grounds to believe that the crimes of torture as a crime against humanity and war crime, rape and other forms of sexual violence as crimes against humanity and war crimes, cruel treatment as a war crime, and outrages upon personal dignity as a war crime were committed against these persons during the relevant period.</w:t>
      </w:r>
    </w:p>
    <w:p w14:paraId="324BB5BB" w14:textId="77777777" w:rsidR="0044598C" w:rsidRPr="0044598C" w:rsidRDefault="0044598C" w:rsidP="0044598C">
      <w:pPr>
        <w:rPr>
          <w:rFonts w:asciiTheme="majorBidi" w:hAnsiTheme="majorBidi" w:cstheme="majorBidi"/>
        </w:rPr>
      </w:pPr>
      <w:r w:rsidRPr="0044598C">
        <w:rPr>
          <w:rFonts w:asciiTheme="majorBidi" w:hAnsiTheme="majorBidi" w:cstheme="majorBidi"/>
        </w:rPr>
        <w:t xml:space="preserve">With respect to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Deif’s individual criminal responsibility, the Chamber found reasonable grounds to believe that senior leaders of Hamas, comprising of at least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Deif,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Sinwar, and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Haniyeh, agreed to jointly carry out the 7 October 2023 Operation. The plan included targeting military and civilian objects in Israel and other acts of violence against Israeli persons. The material presented by the Prosecution indicated that several senior members of Palestinian Islamic Jihad </w:t>
      </w:r>
      <w:r w:rsidRPr="0044598C">
        <w:rPr>
          <w:rFonts w:asciiTheme="majorBidi" w:hAnsiTheme="majorBidi" w:cstheme="majorBidi"/>
          <w:i/>
          <w:iCs/>
        </w:rPr>
        <w:t>al-Quds</w:t>
      </w:r>
      <w:r w:rsidRPr="0044598C">
        <w:rPr>
          <w:rFonts w:asciiTheme="majorBidi" w:hAnsiTheme="majorBidi" w:cstheme="majorBidi"/>
        </w:rPr>
        <w:t xml:space="preserve"> joined the plan in the morning of 7 October 2023 at the latest, and that other Palestinians armed groups participated in the </w:t>
      </w:r>
      <w:proofErr w:type="gramStart"/>
      <w:r w:rsidRPr="0044598C">
        <w:rPr>
          <w:rFonts w:asciiTheme="majorBidi" w:hAnsiTheme="majorBidi" w:cstheme="majorBidi"/>
        </w:rPr>
        <w:t>Operation</w:t>
      </w:r>
      <w:proofErr w:type="gramEnd"/>
      <w:r w:rsidRPr="0044598C">
        <w:rPr>
          <w:rFonts w:asciiTheme="majorBidi" w:hAnsiTheme="majorBidi" w:cstheme="majorBidi"/>
        </w:rPr>
        <w:t>.</w:t>
      </w:r>
    </w:p>
    <w:p w14:paraId="1D878341" w14:textId="77777777" w:rsidR="0044598C" w:rsidRPr="0044598C" w:rsidRDefault="0044598C" w:rsidP="0044598C">
      <w:pPr>
        <w:rPr>
          <w:rFonts w:asciiTheme="majorBidi" w:hAnsiTheme="majorBidi" w:cstheme="majorBidi"/>
        </w:rPr>
      </w:pPr>
      <w:proofErr w:type="spellStart"/>
      <w:r w:rsidRPr="0044598C">
        <w:rPr>
          <w:rFonts w:asciiTheme="majorBidi" w:hAnsiTheme="majorBidi" w:cstheme="majorBidi"/>
        </w:rPr>
        <w:t>Mr</w:t>
      </w:r>
      <w:proofErr w:type="spellEnd"/>
      <w:r w:rsidRPr="0044598C">
        <w:rPr>
          <w:rFonts w:asciiTheme="majorBidi" w:hAnsiTheme="majorBidi" w:cstheme="majorBidi"/>
        </w:rPr>
        <w:t xml:space="preserve"> Deif, in his role as the commander of the </w:t>
      </w:r>
      <w:r w:rsidRPr="0044598C">
        <w:rPr>
          <w:rFonts w:asciiTheme="majorBidi" w:hAnsiTheme="majorBidi" w:cstheme="majorBidi"/>
          <w:i/>
          <w:iCs/>
        </w:rPr>
        <w:t>al-Qassam</w:t>
      </w:r>
      <w:r w:rsidRPr="0044598C">
        <w:rPr>
          <w:rFonts w:asciiTheme="majorBidi" w:hAnsiTheme="majorBidi" w:cstheme="majorBidi"/>
        </w:rPr>
        <w:t xml:space="preserve"> Brigades, and through his actions prior to, during and after the 7 October Operation, is responsible for the commission of these crimes. In addition, the Chamber considered that </w:t>
      </w:r>
      <w:proofErr w:type="spellStart"/>
      <w:r w:rsidRPr="0044598C">
        <w:rPr>
          <w:rFonts w:asciiTheme="majorBidi" w:hAnsiTheme="majorBidi" w:cstheme="majorBidi"/>
        </w:rPr>
        <w:t>Mr</w:t>
      </w:r>
      <w:proofErr w:type="spellEnd"/>
      <w:r w:rsidRPr="0044598C">
        <w:rPr>
          <w:rFonts w:asciiTheme="majorBidi" w:hAnsiTheme="majorBidi" w:cstheme="majorBidi"/>
        </w:rPr>
        <w:t xml:space="preserve"> Deif ordered or induced the crimes or is responsible as a military commander for the criminal conduct of his subordinates. </w:t>
      </w:r>
    </w:p>
    <w:p w14:paraId="72C3108E" w14:textId="77777777" w:rsidR="0044598C" w:rsidRPr="0044598C" w:rsidRDefault="0044598C" w:rsidP="0044598C">
      <w:pPr>
        <w:rPr>
          <w:rFonts w:asciiTheme="majorBidi" w:hAnsiTheme="majorBidi" w:cstheme="majorBidi"/>
        </w:rPr>
      </w:pPr>
      <w:r w:rsidRPr="0044598C">
        <w:rPr>
          <w:rFonts w:asciiTheme="majorBidi" w:hAnsiTheme="majorBidi" w:cstheme="majorBidi"/>
        </w:rPr>
        <w:t>Background</w:t>
      </w:r>
    </w:p>
    <w:p w14:paraId="405EFD6A" w14:textId="77777777" w:rsidR="0044598C" w:rsidRPr="0044598C" w:rsidRDefault="0044598C" w:rsidP="0044598C">
      <w:pPr>
        <w:rPr>
          <w:rFonts w:asciiTheme="majorBidi" w:hAnsiTheme="majorBidi" w:cstheme="majorBidi"/>
        </w:rPr>
      </w:pPr>
      <w:r w:rsidRPr="0044598C">
        <w:rPr>
          <w:rFonts w:asciiTheme="majorBidi" w:hAnsiTheme="majorBidi" w:cstheme="majorBidi"/>
        </w:rPr>
        <w:t>On 1 January 2015, The State of Palestine lodged a declaration under article 12(3) of the Rome Statute accepting jurisdiction of the Court since 13 June 2014.</w:t>
      </w:r>
    </w:p>
    <w:p w14:paraId="172C9FA8" w14:textId="77777777" w:rsidR="0044598C" w:rsidRPr="0044598C" w:rsidRDefault="0044598C" w:rsidP="0044598C">
      <w:pPr>
        <w:rPr>
          <w:rFonts w:asciiTheme="majorBidi" w:hAnsiTheme="majorBidi" w:cstheme="majorBidi"/>
        </w:rPr>
      </w:pPr>
      <w:r w:rsidRPr="0044598C">
        <w:rPr>
          <w:rFonts w:asciiTheme="majorBidi" w:hAnsiTheme="majorBidi" w:cstheme="majorBidi"/>
        </w:rPr>
        <w:t>On 2 January 2015, The State of Palestine acceded to the Rome Statute by depositing its instrument of accession with the UN Secretary-General. The Rome Statute entered into force for The State of Palestine on 1 April 2015.</w:t>
      </w:r>
    </w:p>
    <w:p w14:paraId="25F5A2D6" w14:textId="77777777" w:rsidR="0044598C" w:rsidRPr="0044598C" w:rsidRDefault="0044598C" w:rsidP="0044598C">
      <w:pPr>
        <w:rPr>
          <w:rFonts w:asciiTheme="majorBidi" w:hAnsiTheme="majorBidi" w:cstheme="majorBidi"/>
        </w:rPr>
      </w:pPr>
      <w:r w:rsidRPr="0044598C">
        <w:rPr>
          <w:rFonts w:asciiTheme="majorBidi" w:hAnsiTheme="majorBidi" w:cstheme="majorBidi"/>
        </w:rPr>
        <w:t>On 22 May 2018, pursuant to articles 13(a) and 14 of the Rome Statute, The State of Palestine referred to the Prosecutor the Situation since 13 June 2014, with no end date. </w:t>
      </w:r>
    </w:p>
    <w:p w14:paraId="5B74A510" w14:textId="77777777" w:rsidR="0044598C" w:rsidRPr="0044598C" w:rsidRDefault="0044598C" w:rsidP="0044598C">
      <w:pPr>
        <w:rPr>
          <w:rFonts w:asciiTheme="majorBidi" w:hAnsiTheme="majorBidi" w:cstheme="majorBidi"/>
        </w:rPr>
      </w:pPr>
      <w:r w:rsidRPr="0044598C">
        <w:rPr>
          <w:rFonts w:asciiTheme="majorBidi" w:hAnsiTheme="majorBidi" w:cstheme="majorBidi"/>
        </w:rPr>
        <w:t>On 3 March 2021, the Prosecutor announced the opening of the investigation into the Situation in the State of Palestine. This followed Pre-Trial Chamber I's </w:t>
      </w:r>
      <w:hyperlink r:id="rId5" w:history="1">
        <w:r w:rsidRPr="0044598C">
          <w:rPr>
            <w:rStyle w:val="Hyperlink"/>
            <w:rFonts w:asciiTheme="majorBidi" w:hAnsiTheme="majorBidi" w:cstheme="majorBidi"/>
          </w:rPr>
          <w:t>decision</w:t>
        </w:r>
      </w:hyperlink>
      <w:r w:rsidRPr="0044598C">
        <w:rPr>
          <w:rFonts w:asciiTheme="majorBidi" w:hAnsiTheme="majorBidi" w:cstheme="majorBidi"/>
        </w:rPr>
        <w:t> on 5 February 2021 that the Court could exercise its criminal jurisdiction in the Situation and, by majority, that the territorial scope of this jurisdiction extends to Gaza and the West Bank, including East Jerusalem. </w:t>
      </w:r>
    </w:p>
    <w:p w14:paraId="24ED2EEE" w14:textId="77777777" w:rsidR="0044598C" w:rsidRPr="0044598C" w:rsidRDefault="0044598C" w:rsidP="0044598C">
      <w:pPr>
        <w:rPr>
          <w:rFonts w:asciiTheme="majorBidi" w:hAnsiTheme="majorBidi" w:cstheme="majorBidi"/>
        </w:rPr>
      </w:pPr>
      <w:r w:rsidRPr="0044598C">
        <w:rPr>
          <w:rFonts w:asciiTheme="majorBidi" w:hAnsiTheme="majorBidi" w:cstheme="majorBidi"/>
        </w:rPr>
        <w:t xml:space="preserve">On 17 November 2023, the Office of the Prosecutor received a further referral of the Situation in the State of Palestine, from South Africa, Bangladesh, Bolivia, Comoros, and Djibouti, and on 18 </w:t>
      </w:r>
      <w:r w:rsidRPr="0044598C">
        <w:rPr>
          <w:rFonts w:asciiTheme="majorBidi" w:hAnsiTheme="majorBidi" w:cstheme="majorBidi"/>
        </w:rPr>
        <w:lastRenderedPageBreak/>
        <w:t>January 2024, the Republic of Chile and the United Mexican State additionally submitted a referral to the Prosecutor with respect to the situation in The State of Palestine.</w:t>
      </w:r>
    </w:p>
    <w:p w14:paraId="0A13E824" w14:textId="77777777" w:rsidR="001944CB" w:rsidRPr="0044598C" w:rsidRDefault="001944CB">
      <w:pPr>
        <w:rPr>
          <w:rFonts w:asciiTheme="majorBidi" w:hAnsiTheme="majorBidi" w:cstheme="majorBidi"/>
        </w:rPr>
      </w:pPr>
    </w:p>
    <w:sectPr w:rsidR="001944CB" w:rsidRPr="00445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8C"/>
    <w:rsid w:val="000C526D"/>
    <w:rsid w:val="001944CB"/>
    <w:rsid w:val="0044598C"/>
    <w:rsid w:val="006F760D"/>
    <w:rsid w:val="009903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F47F"/>
  <w15:chartTrackingRefBased/>
  <w15:docId w15:val="{AE2FB8F8-05A4-4EA7-8FFE-25C7BDC1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98C"/>
    <w:rPr>
      <w:rFonts w:eastAsiaTheme="majorEastAsia" w:cstheme="majorBidi"/>
      <w:color w:val="272727" w:themeColor="text1" w:themeTint="D8"/>
    </w:rPr>
  </w:style>
  <w:style w:type="paragraph" w:styleId="Title">
    <w:name w:val="Title"/>
    <w:basedOn w:val="Normal"/>
    <w:next w:val="Normal"/>
    <w:link w:val="TitleChar"/>
    <w:uiPriority w:val="10"/>
    <w:qFormat/>
    <w:rsid w:val="00445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98C"/>
    <w:pPr>
      <w:spacing w:before="160"/>
      <w:jc w:val="center"/>
    </w:pPr>
    <w:rPr>
      <w:i/>
      <w:iCs/>
      <w:color w:val="404040" w:themeColor="text1" w:themeTint="BF"/>
    </w:rPr>
  </w:style>
  <w:style w:type="character" w:customStyle="1" w:styleId="QuoteChar">
    <w:name w:val="Quote Char"/>
    <w:basedOn w:val="DefaultParagraphFont"/>
    <w:link w:val="Quote"/>
    <w:uiPriority w:val="29"/>
    <w:rsid w:val="0044598C"/>
    <w:rPr>
      <w:i/>
      <w:iCs/>
      <w:color w:val="404040" w:themeColor="text1" w:themeTint="BF"/>
    </w:rPr>
  </w:style>
  <w:style w:type="paragraph" w:styleId="ListParagraph">
    <w:name w:val="List Paragraph"/>
    <w:basedOn w:val="Normal"/>
    <w:uiPriority w:val="34"/>
    <w:qFormat/>
    <w:rsid w:val="0044598C"/>
    <w:pPr>
      <w:ind w:left="720"/>
      <w:contextualSpacing/>
    </w:pPr>
  </w:style>
  <w:style w:type="character" w:styleId="IntenseEmphasis">
    <w:name w:val="Intense Emphasis"/>
    <w:basedOn w:val="DefaultParagraphFont"/>
    <w:uiPriority w:val="21"/>
    <w:qFormat/>
    <w:rsid w:val="0044598C"/>
    <w:rPr>
      <w:i/>
      <w:iCs/>
      <w:color w:val="0F4761" w:themeColor="accent1" w:themeShade="BF"/>
    </w:rPr>
  </w:style>
  <w:style w:type="paragraph" w:styleId="IntenseQuote">
    <w:name w:val="Intense Quote"/>
    <w:basedOn w:val="Normal"/>
    <w:next w:val="Normal"/>
    <w:link w:val="IntenseQuoteChar"/>
    <w:uiPriority w:val="30"/>
    <w:qFormat/>
    <w:rsid w:val="00445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98C"/>
    <w:rPr>
      <w:i/>
      <w:iCs/>
      <w:color w:val="0F4761" w:themeColor="accent1" w:themeShade="BF"/>
    </w:rPr>
  </w:style>
  <w:style w:type="character" w:styleId="IntenseReference">
    <w:name w:val="Intense Reference"/>
    <w:basedOn w:val="DefaultParagraphFont"/>
    <w:uiPriority w:val="32"/>
    <w:qFormat/>
    <w:rsid w:val="0044598C"/>
    <w:rPr>
      <w:b/>
      <w:bCs/>
      <w:smallCaps/>
      <w:color w:val="0F4761" w:themeColor="accent1" w:themeShade="BF"/>
      <w:spacing w:val="5"/>
    </w:rPr>
  </w:style>
  <w:style w:type="character" w:styleId="Hyperlink">
    <w:name w:val="Hyperlink"/>
    <w:basedOn w:val="DefaultParagraphFont"/>
    <w:uiPriority w:val="99"/>
    <w:unhideWhenUsed/>
    <w:rsid w:val="0044598C"/>
    <w:rPr>
      <w:color w:val="467886" w:themeColor="hyperlink"/>
      <w:u w:val="single"/>
    </w:rPr>
  </w:style>
  <w:style w:type="character" w:styleId="UnresolvedMention">
    <w:name w:val="Unresolved Mention"/>
    <w:basedOn w:val="DefaultParagraphFont"/>
    <w:uiPriority w:val="99"/>
    <w:semiHidden/>
    <w:unhideWhenUsed/>
    <w:rsid w:val="00445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cc-cpi.int/news/icc-pre-trial-chamber-i-issues-its-decision-prosecutors-request-related-territorial" TargetMode="External"/><Relationship Id="rId4" Type="http://schemas.openxmlformats.org/officeDocument/2006/relationships/hyperlink" Target="https://www.icc-cpi.int/news/situation-state-palestine-icc-pre-trial-chamber-i-issues-warrant-arrest-mohammed-diab-ib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2025-08-19T22:41:00Z</dcterms:created>
  <dcterms:modified xsi:type="dcterms:W3CDTF">2025-08-19T22:42:00Z</dcterms:modified>
</cp:coreProperties>
</file>