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5359C" w14:textId="601D393D" w:rsidR="00256692" w:rsidRPr="001E7332" w:rsidRDefault="00D204FD" w:rsidP="00A52D75">
      <w:pPr>
        <w:rPr>
          <w:rFonts w:ascii="Times New Roman" w:eastAsia="Times New Roman" w:hAnsi="Times New Roman" w:cs="Times New Roman"/>
          <w:b/>
          <w:sz w:val="44"/>
          <w:szCs w:val="44"/>
        </w:rPr>
      </w:pPr>
      <w:r>
        <w:rPr>
          <w:rFonts w:ascii="Times New Roman" w:hAnsi="Times New Roman" w:cs="Times New Roman"/>
          <w:b/>
          <w:sz w:val="44"/>
          <w:szCs w:val="44"/>
        </w:rPr>
        <w:t>Lee O’Brien</w:t>
      </w:r>
    </w:p>
    <w:p w14:paraId="1A7D450A" w14:textId="77777777" w:rsidR="00256692" w:rsidRDefault="00256692" w:rsidP="00256692">
      <w:r>
        <w:rPr>
          <w:rFonts w:ascii="Times New Roman" w:eastAsia="Times New Roman" w:hAnsi="Times New Roman" w:cs="Times New Roman"/>
          <w:sz w:val="28"/>
          <w:szCs w:val="28"/>
        </w:rPr>
        <w:t>February 23</w:t>
      </w:r>
      <w:r w:rsidR="004F5687">
        <w:rPr>
          <w:rFonts w:ascii="Times New Roman" w:eastAsia="Times New Roman" w:hAnsi="Times New Roman" w:cs="Times New Roman"/>
          <w:sz w:val="28"/>
          <w:szCs w:val="28"/>
        </w:rPr>
        <w:t>, 2014</w:t>
      </w:r>
      <w:r w:rsidRPr="00256692">
        <w:t xml:space="preserve"> </w:t>
      </w:r>
    </w:p>
    <w:p w14:paraId="3613CE37" w14:textId="57934E89" w:rsidR="001E7332" w:rsidRPr="001E7332" w:rsidRDefault="001E7332" w:rsidP="001E7332">
      <w:pPr>
        <w:rPr>
          <w:rFonts w:ascii="Times New Roman" w:eastAsia="Times New Roman" w:hAnsi="Times New Roman" w:cs="Times New Roman"/>
          <w:sz w:val="28"/>
          <w:szCs w:val="28"/>
        </w:rPr>
      </w:pPr>
      <w:r w:rsidRPr="001E7332">
        <w:rPr>
          <w:rFonts w:ascii="Times New Roman" w:eastAsia="Times New Roman" w:hAnsi="Times New Roman" w:cs="Times New Roman"/>
          <w:sz w:val="28"/>
          <w:szCs w:val="28"/>
        </w:rPr>
        <w:t xml:space="preserve">Bio of </w:t>
      </w:r>
      <w:r w:rsidR="00D204FD">
        <w:rPr>
          <w:rFonts w:ascii="Times New Roman" w:eastAsia="Times New Roman" w:hAnsi="Times New Roman" w:cs="Times New Roman"/>
          <w:sz w:val="28"/>
          <w:szCs w:val="28"/>
        </w:rPr>
        <w:t>Lee O’Brien</w:t>
      </w:r>
    </w:p>
    <w:p w14:paraId="57CC5E1D" w14:textId="63A24BED" w:rsidR="001E7332" w:rsidRDefault="00D204FD" w:rsidP="004448A5">
      <w:pPr>
        <w:widowControl w:val="0"/>
        <w:autoSpaceDE w:val="0"/>
        <w:autoSpaceDN w:val="0"/>
        <w:adjustRightInd w:val="0"/>
        <w:rPr>
          <w:rFonts w:ascii="Times New Roman" w:hAnsi="Times New Roman" w:cs="Times New Roman"/>
          <w:sz w:val="28"/>
          <w:szCs w:val="28"/>
        </w:rPr>
      </w:pPr>
      <w:r w:rsidRPr="00D204FD">
        <w:rPr>
          <w:rFonts w:ascii="Times New Roman" w:hAnsi="Times New Roman" w:cs="Times New Roman"/>
          <w:sz w:val="28"/>
          <w:szCs w:val="28"/>
        </w:rPr>
        <w:t>http://www.merip.org/author/lee-obrien</w:t>
      </w:r>
    </w:p>
    <w:p w14:paraId="10EF7EA5" w14:textId="77777777" w:rsidR="00D204FD" w:rsidRDefault="00D204FD" w:rsidP="004448A5">
      <w:pPr>
        <w:widowControl w:val="0"/>
        <w:autoSpaceDE w:val="0"/>
        <w:autoSpaceDN w:val="0"/>
        <w:adjustRightInd w:val="0"/>
        <w:rPr>
          <w:rFonts w:ascii="Times New Roman" w:hAnsi="Times New Roman" w:cs="Times New Roman"/>
          <w:sz w:val="28"/>
          <w:szCs w:val="28"/>
        </w:rPr>
      </w:pPr>
    </w:p>
    <w:p w14:paraId="7E924D6C" w14:textId="7B8D2DBE" w:rsidR="00D204FD" w:rsidRDefault="00D204FD" w:rsidP="00D204FD">
      <w:pPr>
        <w:widowControl w:val="0"/>
        <w:autoSpaceDE w:val="0"/>
        <w:autoSpaceDN w:val="0"/>
        <w:adjustRightInd w:val="0"/>
        <w:spacing w:after="160"/>
        <w:rPr>
          <w:rFonts w:ascii="Verdana" w:hAnsi="Verdana" w:cs="Verdana"/>
          <w:sz w:val="26"/>
          <w:szCs w:val="26"/>
        </w:rPr>
      </w:pPr>
      <w:r>
        <w:rPr>
          <w:rFonts w:ascii="Verdana" w:hAnsi="Verdana" w:cs="Verdana"/>
          <w:sz w:val="26"/>
          <w:szCs w:val="26"/>
        </w:rPr>
        <w:t>L</w:t>
      </w:r>
      <w:bookmarkStart w:id="0" w:name="_GoBack"/>
      <w:bookmarkEnd w:id="0"/>
      <w:r>
        <w:rPr>
          <w:rFonts w:ascii="Verdana" w:hAnsi="Verdana" w:cs="Verdana"/>
          <w:sz w:val="26"/>
          <w:szCs w:val="26"/>
        </w:rPr>
        <w:t xml:space="preserve">ee O’Brien works in the Department of Political Affairs at the United Nations and was a contributing editor of </w:t>
      </w:r>
      <w:r>
        <w:rPr>
          <w:rFonts w:ascii="Verdana" w:hAnsi="Verdana" w:cs="Verdana"/>
          <w:i/>
          <w:iCs/>
          <w:sz w:val="26"/>
          <w:szCs w:val="26"/>
        </w:rPr>
        <w:t>Middle East Report</w:t>
      </w:r>
      <w:r>
        <w:rPr>
          <w:rFonts w:ascii="Verdana" w:hAnsi="Verdana" w:cs="Verdana"/>
          <w:sz w:val="26"/>
          <w:szCs w:val="26"/>
        </w:rPr>
        <w:t>.</w:t>
      </w:r>
    </w:p>
    <w:p w14:paraId="4DB1346D" w14:textId="77777777" w:rsidR="00D204FD" w:rsidRDefault="00D204FD" w:rsidP="00D204FD">
      <w:pPr>
        <w:widowControl w:val="0"/>
        <w:autoSpaceDE w:val="0"/>
        <w:autoSpaceDN w:val="0"/>
        <w:adjustRightInd w:val="0"/>
        <w:rPr>
          <w:rFonts w:ascii="Verdana" w:hAnsi="Verdana" w:cs="Verdana"/>
          <w:sz w:val="26"/>
          <w:szCs w:val="26"/>
        </w:rPr>
      </w:pPr>
    </w:p>
    <w:p w14:paraId="22350DBF" w14:textId="77777777" w:rsidR="00D204FD" w:rsidRDefault="00D204FD" w:rsidP="00D204FD">
      <w:pPr>
        <w:widowControl w:val="0"/>
        <w:autoSpaceDE w:val="0"/>
        <w:autoSpaceDN w:val="0"/>
        <w:adjustRightInd w:val="0"/>
        <w:rPr>
          <w:rFonts w:ascii="Verdana" w:hAnsi="Verdana" w:cs="Verdana"/>
          <w:sz w:val="26"/>
          <w:szCs w:val="26"/>
        </w:rPr>
      </w:pPr>
      <w:r>
        <w:rPr>
          <w:rFonts w:ascii="Verdana" w:hAnsi="Verdana" w:cs="Verdana"/>
          <w:b/>
          <w:bCs/>
          <w:sz w:val="26"/>
          <w:szCs w:val="26"/>
        </w:rPr>
        <w:t>Articles by this Author</w:t>
      </w:r>
    </w:p>
    <w:tbl>
      <w:tblPr>
        <w:tblW w:w="0" w:type="auto"/>
        <w:tblBorders>
          <w:top w:val="nil"/>
          <w:left w:val="nil"/>
          <w:right w:val="nil"/>
        </w:tblBorders>
        <w:tblLayout w:type="fixed"/>
        <w:tblLook w:val="0000" w:firstRow="0" w:lastRow="0" w:firstColumn="0" w:lastColumn="0" w:noHBand="0" w:noVBand="0"/>
      </w:tblPr>
      <w:tblGrid>
        <w:gridCol w:w="1520"/>
        <w:gridCol w:w="8700"/>
        <w:gridCol w:w="1280"/>
      </w:tblGrid>
      <w:tr w:rsidR="00D204FD" w14:paraId="16BB4D18" w14:textId="77777777">
        <w:tblPrEx>
          <w:tblCellMar>
            <w:top w:w="0" w:type="dxa"/>
            <w:bottom w:w="0" w:type="dxa"/>
          </w:tblCellMar>
        </w:tblPrEx>
        <w:tc>
          <w:tcPr>
            <w:tcW w:w="1520" w:type="dxa"/>
            <w:vAlign w:val="center"/>
          </w:tcPr>
          <w:p w14:paraId="685D0B30" w14:textId="77777777" w:rsidR="00D204FD" w:rsidRDefault="00D204FD">
            <w:pPr>
              <w:widowControl w:val="0"/>
              <w:autoSpaceDE w:val="0"/>
              <w:autoSpaceDN w:val="0"/>
              <w:adjustRightInd w:val="0"/>
              <w:rPr>
                <w:rFonts w:ascii="Verdana" w:hAnsi="Verdana" w:cs="Verdana"/>
                <w:b/>
                <w:bCs/>
                <w:sz w:val="26"/>
                <w:szCs w:val="26"/>
              </w:rPr>
            </w:pPr>
          </w:p>
        </w:tc>
        <w:tc>
          <w:tcPr>
            <w:tcW w:w="8700" w:type="dxa"/>
            <w:vAlign w:val="center"/>
          </w:tcPr>
          <w:p w14:paraId="5483101F" w14:textId="77777777" w:rsidR="00D204FD" w:rsidRDefault="00D204FD">
            <w:pPr>
              <w:widowControl w:val="0"/>
              <w:autoSpaceDE w:val="0"/>
              <w:autoSpaceDN w:val="0"/>
              <w:adjustRightInd w:val="0"/>
              <w:rPr>
                <w:rFonts w:ascii="Verdana" w:hAnsi="Verdana" w:cs="Verdana"/>
                <w:b/>
                <w:bCs/>
                <w:sz w:val="26"/>
                <w:szCs w:val="26"/>
              </w:rPr>
            </w:pPr>
          </w:p>
        </w:tc>
        <w:tc>
          <w:tcPr>
            <w:tcW w:w="1280" w:type="dxa"/>
            <w:vAlign w:val="center"/>
          </w:tcPr>
          <w:p w14:paraId="430E4D61" w14:textId="77777777" w:rsidR="00D204FD" w:rsidRDefault="00D204FD">
            <w:pPr>
              <w:widowControl w:val="0"/>
              <w:autoSpaceDE w:val="0"/>
              <w:autoSpaceDN w:val="0"/>
              <w:adjustRightInd w:val="0"/>
              <w:rPr>
                <w:rFonts w:ascii="Verdana" w:hAnsi="Verdana" w:cs="Verdana"/>
                <w:b/>
                <w:bCs/>
                <w:sz w:val="26"/>
                <w:szCs w:val="26"/>
              </w:rPr>
            </w:pPr>
          </w:p>
        </w:tc>
      </w:tr>
      <w:tr w:rsidR="00D204FD" w14:paraId="502E453A" w14:textId="77777777">
        <w:tblPrEx>
          <w:tblBorders>
            <w:top w:val="none" w:sz="0" w:space="0" w:color="auto"/>
          </w:tblBorders>
          <w:tblCellMar>
            <w:top w:w="0" w:type="dxa"/>
            <w:bottom w:w="0" w:type="dxa"/>
          </w:tblCellMar>
        </w:tblPrEx>
        <w:tc>
          <w:tcPr>
            <w:tcW w:w="1320" w:type="dxa"/>
            <w:shd w:val="clear" w:color="auto" w:fill="FFFFFF"/>
            <w:tcMar>
              <w:top w:w="100" w:type="nil"/>
              <w:left w:w="100" w:type="nil"/>
              <w:bottom w:w="100" w:type="nil"/>
              <w:right w:w="100" w:type="nil"/>
            </w:tcMar>
            <w:vAlign w:val="center"/>
          </w:tcPr>
          <w:p w14:paraId="2A8956CE" w14:textId="77777777" w:rsidR="00D204FD" w:rsidRDefault="00D204FD">
            <w:pPr>
              <w:widowControl w:val="0"/>
              <w:autoSpaceDE w:val="0"/>
              <w:autoSpaceDN w:val="0"/>
              <w:adjustRightInd w:val="0"/>
              <w:rPr>
                <w:rFonts w:ascii="Verdana" w:hAnsi="Verdana" w:cs="Verdana"/>
                <w:sz w:val="26"/>
                <w:szCs w:val="26"/>
              </w:rPr>
            </w:pPr>
            <w:hyperlink r:id="rId6" w:history="1">
              <w:r>
                <w:rPr>
                  <w:rFonts w:ascii="Verdana" w:hAnsi="Verdana" w:cs="Verdana"/>
                  <w:color w:val="646464"/>
                  <w:sz w:val="26"/>
                  <w:szCs w:val="26"/>
                </w:rPr>
                <w:t>The West Bank Rises Up</w:t>
              </w:r>
            </w:hyperlink>
          </w:p>
        </w:tc>
        <w:tc>
          <w:tcPr>
            <w:tcW w:w="8500" w:type="dxa"/>
            <w:shd w:val="clear" w:color="auto" w:fill="FFFFFF"/>
            <w:tcMar>
              <w:top w:w="100" w:type="nil"/>
              <w:left w:w="100" w:type="nil"/>
              <w:bottom w:w="100" w:type="nil"/>
              <w:right w:w="100" w:type="nil"/>
            </w:tcMar>
            <w:vAlign w:val="center"/>
          </w:tcPr>
          <w:p w14:paraId="71D3E271" w14:textId="77777777" w:rsidR="00D204FD" w:rsidRDefault="00D204FD">
            <w:pPr>
              <w:widowControl w:val="0"/>
              <w:autoSpaceDE w:val="0"/>
              <w:autoSpaceDN w:val="0"/>
              <w:adjustRightInd w:val="0"/>
              <w:spacing w:after="160"/>
              <w:rPr>
                <w:rFonts w:ascii="Verdana" w:hAnsi="Verdana" w:cs="Verdana"/>
                <w:sz w:val="26"/>
                <w:szCs w:val="26"/>
              </w:rPr>
            </w:pPr>
            <w:r>
              <w:rPr>
                <w:rFonts w:ascii="Verdana" w:hAnsi="Verdana" w:cs="Verdana"/>
                <w:sz w:val="26"/>
                <w:szCs w:val="26"/>
              </w:rPr>
              <w:t xml:space="preserve">Ramallah’s landscape this February 21 has overtones of a war zone. Residents have dismantled the ancient </w:t>
            </w:r>
            <w:proofErr w:type="gramStart"/>
            <w:r>
              <w:rPr>
                <w:rFonts w:ascii="Verdana" w:hAnsi="Verdana" w:cs="Verdana"/>
                <w:sz w:val="26"/>
                <w:szCs w:val="26"/>
              </w:rPr>
              <w:t>stone wall</w:t>
            </w:r>
            <w:proofErr w:type="gramEnd"/>
            <w:r>
              <w:rPr>
                <w:rFonts w:ascii="Verdana" w:hAnsi="Verdana" w:cs="Verdana"/>
                <w:sz w:val="26"/>
                <w:szCs w:val="26"/>
              </w:rPr>
              <w:t xml:space="preserve"> across the street for a series of barricades. The smoke of a burning tire rises in the clear early afternoon air over nearby...</w:t>
            </w:r>
          </w:p>
        </w:tc>
        <w:tc>
          <w:tcPr>
            <w:tcW w:w="1080" w:type="dxa"/>
            <w:shd w:val="clear" w:color="auto" w:fill="FFFFFF"/>
            <w:tcMar>
              <w:top w:w="100" w:type="nil"/>
              <w:left w:w="100" w:type="nil"/>
              <w:bottom w:w="100" w:type="nil"/>
              <w:right w:w="100" w:type="nil"/>
            </w:tcMar>
            <w:vAlign w:val="center"/>
          </w:tcPr>
          <w:p w14:paraId="68A2FF6F" w14:textId="77777777" w:rsidR="00D204FD" w:rsidRDefault="00D204FD">
            <w:pPr>
              <w:widowControl w:val="0"/>
              <w:autoSpaceDE w:val="0"/>
              <w:autoSpaceDN w:val="0"/>
              <w:adjustRightInd w:val="0"/>
              <w:rPr>
                <w:rFonts w:ascii="Verdana" w:hAnsi="Verdana" w:cs="Verdana"/>
                <w:sz w:val="26"/>
                <w:szCs w:val="26"/>
              </w:rPr>
            </w:pPr>
            <w:hyperlink r:id="rId7" w:history="1">
              <w:r>
                <w:rPr>
                  <w:rFonts w:ascii="Verdana" w:hAnsi="Verdana" w:cs="Verdana"/>
                  <w:color w:val="646464"/>
                  <w:sz w:val="26"/>
                  <w:szCs w:val="26"/>
                </w:rPr>
                <w:t>MER152</w:t>
              </w:r>
            </w:hyperlink>
          </w:p>
        </w:tc>
      </w:tr>
      <w:tr w:rsidR="00D204FD" w14:paraId="35F10570" w14:textId="77777777">
        <w:tblPrEx>
          <w:tblBorders>
            <w:top w:val="none" w:sz="0" w:space="0" w:color="auto"/>
          </w:tblBorders>
          <w:tblCellMar>
            <w:top w:w="0" w:type="dxa"/>
            <w:bottom w:w="0" w:type="dxa"/>
          </w:tblCellMar>
        </w:tblPrEx>
        <w:tc>
          <w:tcPr>
            <w:tcW w:w="1320" w:type="dxa"/>
            <w:shd w:val="clear" w:color="auto" w:fill="EAEAEA"/>
            <w:tcMar>
              <w:top w:w="100" w:type="nil"/>
              <w:left w:w="100" w:type="nil"/>
              <w:bottom w:w="100" w:type="nil"/>
              <w:right w:w="100" w:type="nil"/>
            </w:tcMar>
            <w:vAlign w:val="center"/>
          </w:tcPr>
          <w:p w14:paraId="1A229E3C" w14:textId="77777777" w:rsidR="00D204FD" w:rsidRDefault="00D204FD">
            <w:pPr>
              <w:widowControl w:val="0"/>
              <w:autoSpaceDE w:val="0"/>
              <w:autoSpaceDN w:val="0"/>
              <w:adjustRightInd w:val="0"/>
              <w:rPr>
                <w:rFonts w:ascii="Verdana" w:hAnsi="Verdana" w:cs="Verdana"/>
                <w:sz w:val="26"/>
                <w:szCs w:val="26"/>
              </w:rPr>
            </w:pPr>
            <w:hyperlink r:id="rId8" w:history="1">
              <w:r>
                <w:rPr>
                  <w:rFonts w:ascii="Verdana" w:hAnsi="Verdana" w:cs="Verdana"/>
                  <w:color w:val="646464"/>
                  <w:sz w:val="26"/>
                  <w:szCs w:val="26"/>
                </w:rPr>
                <w:t>Morning in Ramallah Military Court</w:t>
              </w:r>
            </w:hyperlink>
          </w:p>
        </w:tc>
        <w:tc>
          <w:tcPr>
            <w:tcW w:w="8500" w:type="dxa"/>
            <w:shd w:val="clear" w:color="auto" w:fill="EAEAEA"/>
            <w:tcMar>
              <w:top w:w="100" w:type="nil"/>
              <w:left w:w="100" w:type="nil"/>
              <w:bottom w:w="100" w:type="nil"/>
              <w:right w:w="100" w:type="nil"/>
            </w:tcMar>
            <w:vAlign w:val="center"/>
          </w:tcPr>
          <w:p w14:paraId="3D1D274F" w14:textId="77777777" w:rsidR="00D204FD" w:rsidRDefault="00D204FD">
            <w:pPr>
              <w:widowControl w:val="0"/>
              <w:autoSpaceDE w:val="0"/>
              <w:autoSpaceDN w:val="0"/>
              <w:adjustRightInd w:val="0"/>
              <w:spacing w:after="160"/>
              <w:rPr>
                <w:rFonts w:ascii="Verdana" w:hAnsi="Verdana" w:cs="Verdana"/>
                <w:sz w:val="26"/>
                <w:szCs w:val="26"/>
              </w:rPr>
            </w:pPr>
            <w:r>
              <w:rPr>
                <w:rFonts w:ascii="Verdana" w:hAnsi="Verdana" w:cs="Verdana"/>
                <w:sz w:val="26"/>
                <w:szCs w:val="26"/>
              </w:rPr>
              <w:t>The main street was completely deserted on the way to Ramallah Military Headquarters the morning of February 25. It was the second day of a general strike called for in the eighth statement by the United National Leadership to protest the visit...</w:t>
            </w:r>
          </w:p>
        </w:tc>
        <w:tc>
          <w:tcPr>
            <w:tcW w:w="1080" w:type="dxa"/>
            <w:shd w:val="clear" w:color="auto" w:fill="EAEAEA"/>
            <w:tcMar>
              <w:top w:w="100" w:type="nil"/>
              <w:left w:w="100" w:type="nil"/>
              <w:bottom w:w="100" w:type="nil"/>
              <w:right w:w="100" w:type="nil"/>
            </w:tcMar>
            <w:vAlign w:val="center"/>
          </w:tcPr>
          <w:p w14:paraId="2279CE6E" w14:textId="77777777" w:rsidR="00D204FD" w:rsidRDefault="00D204FD">
            <w:pPr>
              <w:widowControl w:val="0"/>
              <w:autoSpaceDE w:val="0"/>
              <w:autoSpaceDN w:val="0"/>
              <w:adjustRightInd w:val="0"/>
              <w:rPr>
                <w:rFonts w:ascii="Verdana" w:hAnsi="Verdana" w:cs="Verdana"/>
                <w:sz w:val="26"/>
                <w:szCs w:val="26"/>
              </w:rPr>
            </w:pPr>
            <w:hyperlink r:id="rId9" w:history="1">
              <w:r>
                <w:rPr>
                  <w:rFonts w:ascii="Verdana" w:hAnsi="Verdana" w:cs="Verdana"/>
                  <w:color w:val="646464"/>
                  <w:sz w:val="26"/>
                  <w:szCs w:val="26"/>
                </w:rPr>
                <w:t>MER152</w:t>
              </w:r>
            </w:hyperlink>
          </w:p>
        </w:tc>
      </w:tr>
      <w:tr w:rsidR="00D204FD" w14:paraId="5DE2A795" w14:textId="77777777">
        <w:tblPrEx>
          <w:tblBorders>
            <w:top w:val="none" w:sz="0" w:space="0" w:color="auto"/>
          </w:tblBorders>
          <w:tblCellMar>
            <w:top w:w="0" w:type="dxa"/>
            <w:bottom w:w="0" w:type="dxa"/>
          </w:tblCellMar>
        </w:tblPrEx>
        <w:tc>
          <w:tcPr>
            <w:tcW w:w="1320" w:type="dxa"/>
            <w:shd w:val="clear" w:color="auto" w:fill="FFFFFF"/>
            <w:tcMar>
              <w:top w:w="100" w:type="nil"/>
              <w:left w:w="100" w:type="nil"/>
              <w:bottom w:w="100" w:type="nil"/>
              <w:right w:w="100" w:type="nil"/>
            </w:tcMar>
            <w:vAlign w:val="center"/>
          </w:tcPr>
          <w:p w14:paraId="7A6A6B5B" w14:textId="77777777" w:rsidR="00D204FD" w:rsidRDefault="00D204FD">
            <w:pPr>
              <w:widowControl w:val="0"/>
              <w:autoSpaceDE w:val="0"/>
              <w:autoSpaceDN w:val="0"/>
              <w:adjustRightInd w:val="0"/>
              <w:rPr>
                <w:rFonts w:ascii="Verdana" w:hAnsi="Verdana" w:cs="Verdana"/>
                <w:sz w:val="26"/>
                <w:szCs w:val="26"/>
              </w:rPr>
            </w:pPr>
            <w:hyperlink r:id="rId10" w:history="1">
              <w:r>
                <w:rPr>
                  <w:rFonts w:ascii="Verdana" w:hAnsi="Verdana" w:cs="Verdana"/>
                  <w:color w:val="646464"/>
                  <w:sz w:val="26"/>
                  <w:szCs w:val="26"/>
                </w:rPr>
                <w:t>Lamb, The Arabs</w:t>
              </w:r>
            </w:hyperlink>
          </w:p>
        </w:tc>
        <w:tc>
          <w:tcPr>
            <w:tcW w:w="8500" w:type="dxa"/>
            <w:shd w:val="clear" w:color="auto" w:fill="FFFFFF"/>
            <w:tcMar>
              <w:top w:w="100" w:type="nil"/>
              <w:left w:w="100" w:type="nil"/>
              <w:bottom w:w="100" w:type="nil"/>
              <w:right w:w="100" w:type="nil"/>
            </w:tcMar>
            <w:vAlign w:val="center"/>
          </w:tcPr>
          <w:p w14:paraId="5FA581CF" w14:textId="77777777" w:rsidR="00D204FD" w:rsidRDefault="00D204FD">
            <w:pPr>
              <w:widowControl w:val="0"/>
              <w:autoSpaceDE w:val="0"/>
              <w:autoSpaceDN w:val="0"/>
              <w:adjustRightInd w:val="0"/>
              <w:spacing w:after="160"/>
              <w:rPr>
                <w:rFonts w:ascii="Verdana" w:hAnsi="Verdana" w:cs="Verdana"/>
                <w:sz w:val="26"/>
                <w:szCs w:val="26"/>
              </w:rPr>
            </w:pPr>
            <w:r>
              <w:rPr>
                <w:rFonts w:ascii="Verdana" w:hAnsi="Verdana" w:cs="Verdana"/>
                <w:b/>
                <w:bCs/>
                <w:sz w:val="26"/>
                <w:szCs w:val="26"/>
              </w:rPr>
              <w:t xml:space="preserve">David Lamb, </w:t>
            </w:r>
            <w:r>
              <w:rPr>
                <w:rFonts w:ascii="Verdana" w:hAnsi="Verdana" w:cs="Verdana"/>
                <w:b/>
                <w:bCs/>
                <w:i/>
                <w:iCs/>
                <w:sz w:val="26"/>
                <w:szCs w:val="26"/>
              </w:rPr>
              <w:t>The Arabs: Journeys Beyond the Mirage</w:t>
            </w:r>
            <w:r>
              <w:rPr>
                <w:rFonts w:ascii="Verdana" w:hAnsi="Verdana" w:cs="Verdana"/>
                <w:b/>
                <w:bCs/>
                <w:sz w:val="26"/>
                <w:szCs w:val="26"/>
              </w:rPr>
              <w:t xml:space="preserve"> (New York: Random House, 1987).</w:t>
            </w:r>
          </w:p>
          <w:p w14:paraId="6B71D6DC" w14:textId="77777777" w:rsidR="00D204FD" w:rsidRDefault="00D204FD">
            <w:pPr>
              <w:widowControl w:val="0"/>
              <w:autoSpaceDE w:val="0"/>
              <w:autoSpaceDN w:val="0"/>
              <w:adjustRightInd w:val="0"/>
              <w:spacing w:after="160"/>
              <w:rPr>
                <w:rFonts w:ascii="Verdana" w:hAnsi="Verdana" w:cs="Verdana"/>
                <w:sz w:val="26"/>
                <w:szCs w:val="26"/>
              </w:rPr>
            </w:pPr>
            <w:r>
              <w:rPr>
                <w:rFonts w:ascii="Verdana" w:hAnsi="Verdana" w:cs="Verdana"/>
                <w:sz w:val="26"/>
                <w:szCs w:val="26"/>
              </w:rPr>
              <w:t>More accessible than academic or political studies, journalism has long been the vehicle for most popular knowledge of the Middle...</w:t>
            </w:r>
          </w:p>
        </w:tc>
        <w:tc>
          <w:tcPr>
            <w:tcW w:w="1080" w:type="dxa"/>
            <w:shd w:val="clear" w:color="auto" w:fill="FFFFFF"/>
            <w:tcMar>
              <w:top w:w="100" w:type="nil"/>
              <w:left w:w="100" w:type="nil"/>
              <w:bottom w:w="100" w:type="nil"/>
              <w:right w:w="100" w:type="nil"/>
            </w:tcMar>
            <w:vAlign w:val="center"/>
          </w:tcPr>
          <w:p w14:paraId="094CAF02" w14:textId="77777777" w:rsidR="00D204FD" w:rsidRDefault="00D204FD">
            <w:pPr>
              <w:widowControl w:val="0"/>
              <w:autoSpaceDE w:val="0"/>
              <w:autoSpaceDN w:val="0"/>
              <w:adjustRightInd w:val="0"/>
              <w:rPr>
                <w:rFonts w:ascii="Verdana" w:hAnsi="Verdana" w:cs="Verdana"/>
                <w:sz w:val="26"/>
                <w:szCs w:val="26"/>
              </w:rPr>
            </w:pPr>
            <w:hyperlink r:id="rId11" w:history="1">
              <w:r>
                <w:rPr>
                  <w:rFonts w:ascii="Verdana" w:hAnsi="Verdana" w:cs="Verdana"/>
                  <w:color w:val="646464"/>
                  <w:sz w:val="26"/>
                  <w:szCs w:val="26"/>
                </w:rPr>
                <w:t>MER150</w:t>
              </w:r>
            </w:hyperlink>
          </w:p>
        </w:tc>
      </w:tr>
      <w:tr w:rsidR="00D204FD" w14:paraId="5AED3C84" w14:textId="77777777">
        <w:tblPrEx>
          <w:tblBorders>
            <w:top w:val="none" w:sz="0" w:space="0" w:color="auto"/>
          </w:tblBorders>
          <w:tblCellMar>
            <w:top w:w="0" w:type="dxa"/>
            <w:bottom w:w="0" w:type="dxa"/>
          </w:tblCellMar>
        </w:tblPrEx>
        <w:tc>
          <w:tcPr>
            <w:tcW w:w="1320" w:type="dxa"/>
            <w:shd w:val="clear" w:color="auto" w:fill="EAEAEA"/>
            <w:tcMar>
              <w:top w:w="100" w:type="nil"/>
              <w:left w:w="100" w:type="nil"/>
              <w:bottom w:w="100" w:type="nil"/>
              <w:right w:w="100" w:type="nil"/>
            </w:tcMar>
            <w:vAlign w:val="center"/>
          </w:tcPr>
          <w:p w14:paraId="5B43E062" w14:textId="77777777" w:rsidR="00D204FD" w:rsidRDefault="00D204FD">
            <w:pPr>
              <w:widowControl w:val="0"/>
              <w:autoSpaceDE w:val="0"/>
              <w:autoSpaceDN w:val="0"/>
              <w:adjustRightInd w:val="0"/>
              <w:rPr>
                <w:rFonts w:ascii="Verdana" w:hAnsi="Verdana" w:cs="Verdana"/>
                <w:sz w:val="26"/>
                <w:szCs w:val="26"/>
              </w:rPr>
            </w:pPr>
            <w:hyperlink r:id="rId12" w:history="1">
              <w:r>
                <w:rPr>
                  <w:rFonts w:ascii="Verdana" w:hAnsi="Verdana" w:cs="Verdana"/>
                  <w:color w:val="646464"/>
                  <w:sz w:val="26"/>
                  <w:szCs w:val="26"/>
                </w:rPr>
                <w:t>Campaign of Terror</w:t>
              </w:r>
            </w:hyperlink>
          </w:p>
        </w:tc>
        <w:tc>
          <w:tcPr>
            <w:tcW w:w="8500" w:type="dxa"/>
            <w:shd w:val="clear" w:color="auto" w:fill="EAEAEA"/>
            <w:tcMar>
              <w:top w:w="100" w:type="nil"/>
              <w:left w:w="100" w:type="nil"/>
              <w:bottom w:w="100" w:type="nil"/>
              <w:right w:w="100" w:type="nil"/>
            </w:tcMar>
            <w:vAlign w:val="center"/>
          </w:tcPr>
          <w:p w14:paraId="560406F6" w14:textId="77777777" w:rsidR="00D204FD" w:rsidRDefault="00D204FD">
            <w:pPr>
              <w:widowControl w:val="0"/>
              <w:autoSpaceDE w:val="0"/>
              <w:autoSpaceDN w:val="0"/>
              <w:adjustRightInd w:val="0"/>
              <w:spacing w:after="160"/>
              <w:rPr>
                <w:rFonts w:ascii="Verdana" w:hAnsi="Verdana" w:cs="Verdana"/>
                <w:sz w:val="26"/>
                <w:szCs w:val="26"/>
              </w:rPr>
            </w:pPr>
            <w:r>
              <w:rPr>
                <w:rFonts w:ascii="Verdana" w:hAnsi="Verdana" w:cs="Verdana"/>
                <w:sz w:val="26"/>
                <w:szCs w:val="26"/>
              </w:rPr>
              <w:t>On September 17, 1981, a car booby-trapped with 300 kilograms of TNT exploded in front of the Joint Forces headquarters in Sidon, killing 21 people and wounding 96. Within the next three days, three other serious explosions occurred throughout...</w:t>
            </w:r>
          </w:p>
        </w:tc>
        <w:tc>
          <w:tcPr>
            <w:tcW w:w="1080" w:type="dxa"/>
            <w:shd w:val="clear" w:color="auto" w:fill="EAEAEA"/>
            <w:tcMar>
              <w:top w:w="100" w:type="nil"/>
              <w:left w:w="100" w:type="nil"/>
              <w:bottom w:w="100" w:type="nil"/>
              <w:right w:w="100" w:type="nil"/>
            </w:tcMar>
            <w:vAlign w:val="center"/>
          </w:tcPr>
          <w:p w14:paraId="738BF2C4" w14:textId="77777777" w:rsidR="00D204FD" w:rsidRDefault="00D204FD">
            <w:pPr>
              <w:widowControl w:val="0"/>
              <w:autoSpaceDE w:val="0"/>
              <w:autoSpaceDN w:val="0"/>
              <w:adjustRightInd w:val="0"/>
              <w:rPr>
                <w:rFonts w:ascii="Verdana" w:hAnsi="Verdana" w:cs="Verdana"/>
                <w:sz w:val="26"/>
                <w:szCs w:val="26"/>
              </w:rPr>
            </w:pPr>
            <w:hyperlink r:id="rId13" w:history="1">
              <w:r>
                <w:rPr>
                  <w:rFonts w:ascii="Verdana" w:hAnsi="Verdana" w:cs="Verdana"/>
                  <w:color w:val="646464"/>
                  <w:sz w:val="26"/>
                  <w:szCs w:val="26"/>
                </w:rPr>
                <w:t>MER118</w:t>
              </w:r>
            </w:hyperlink>
          </w:p>
        </w:tc>
      </w:tr>
      <w:tr w:rsidR="00D204FD" w14:paraId="04D1B158" w14:textId="77777777">
        <w:tblPrEx>
          <w:tblCellMar>
            <w:top w:w="0" w:type="dxa"/>
            <w:bottom w:w="0" w:type="dxa"/>
          </w:tblCellMar>
        </w:tblPrEx>
        <w:tc>
          <w:tcPr>
            <w:tcW w:w="1320" w:type="dxa"/>
            <w:shd w:val="clear" w:color="auto" w:fill="FFFFFF"/>
            <w:tcMar>
              <w:top w:w="100" w:type="nil"/>
              <w:left w:w="100" w:type="nil"/>
              <w:bottom w:w="100" w:type="nil"/>
              <w:right w:w="100" w:type="nil"/>
            </w:tcMar>
            <w:vAlign w:val="center"/>
          </w:tcPr>
          <w:p w14:paraId="5A3782C5" w14:textId="77777777" w:rsidR="00D204FD" w:rsidRDefault="00D204FD">
            <w:pPr>
              <w:widowControl w:val="0"/>
              <w:autoSpaceDE w:val="0"/>
              <w:autoSpaceDN w:val="0"/>
              <w:adjustRightInd w:val="0"/>
              <w:rPr>
                <w:rFonts w:ascii="Verdana" w:hAnsi="Verdana" w:cs="Verdana"/>
                <w:sz w:val="26"/>
                <w:szCs w:val="26"/>
              </w:rPr>
            </w:pPr>
            <w:hyperlink r:id="rId14" w:history="1">
              <w:r>
                <w:rPr>
                  <w:rFonts w:ascii="Verdana" w:hAnsi="Verdana" w:cs="Verdana"/>
                  <w:color w:val="646464"/>
                  <w:sz w:val="26"/>
                  <w:szCs w:val="26"/>
                </w:rPr>
                <w:t xml:space="preserve">Adnan, </w:t>
              </w:r>
              <w:proofErr w:type="spellStart"/>
              <w:r>
                <w:rPr>
                  <w:rFonts w:ascii="Verdana" w:hAnsi="Verdana" w:cs="Verdana"/>
                  <w:color w:val="646464"/>
                  <w:sz w:val="26"/>
                  <w:szCs w:val="26"/>
                </w:rPr>
                <w:t>Sitt</w:t>
              </w:r>
              <w:proofErr w:type="spellEnd"/>
              <w:r>
                <w:rPr>
                  <w:rFonts w:ascii="Verdana" w:hAnsi="Verdana" w:cs="Verdana"/>
                  <w:color w:val="646464"/>
                  <w:sz w:val="26"/>
                  <w:szCs w:val="26"/>
                </w:rPr>
                <w:t xml:space="preserve"> Marie Rose</w:t>
              </w:r>
            </w:hyperlink>
          </w:p>
        </w:tc>
        <w:tc>
          <w:tcPr>
            <w:tcW w:w="8500" w:type="dxa"/>
            <w:shd w:val="clear" w:color="auto" w:fill="FFFFFF"/>
            <w:tcMar>
              <w:top w:w="100" w:type="nil"/>
              <w:left w:w="100" w:type="nil"/>
              <w:bottom w:w="100" w:type="nil"/>
              <w:right w:w="100" w:type="nil"/>
            </w:tcMar>
            <w:vAlign w:val="center"/>
          </w:tcPr>
          <w:p w14:paraId="1EA0B236" w14:textId="77777777" w:rsidR="00D204FD" w:rsidRDefault="00D204FD">
            <w:pPr>
              <w:widowControl w:val="0"/>
              <w:autoSpaceDE w:val="0"/>
              <w:autoSpaceDN w:val="0"/>
              <w:adjustRightInd w:val="0"/>
              <w:spacing w:after="160"/>
              <w:rPr>
                <w:rFonts w:ascii="Verdana" w:hAnsi="Verdana" w:cs="Verdana"/>
                <w:sz w:val="26"/>
                <w:szCs w:val="26"/>
              </w:rPr>
            </w:pPr>
            <w:proofErr w:type="spellStart"/>
            <w:r>
              <w:rPr>
                <w:rFonts w:ascii="Verdana" w:hAnsi="Verdana" w:cs="Verdana"/>
                <w:b/>
                <w:bCs/>
                <w:sz w:val="26"/>
                <w:szCs w:val="26"/>
              </w:rPr>
              <w:t>Etel</w:t>
            </w:r>
            <w:proofErr w:type="spellEnd"/>
            <w:r>
              <w:rPr>
                <w:rFonts w:ascii="Verdana" w:hAnsi="Verdana" w:cs="Verdana"/>
                <w:b/>
                <w:bCs/>
                <w:sz w:val="26"/>
                <w:szCs w:val="26"/>
              </w:rPr>
              <w:t xml:space="preserve"> Adnan, </w:t>
            </w:r>
            <w:proofErr w:type="spellStart"/>
            <w:r>
              <w:rPr>
                <w:rFonts w:ascii="Verdana" w:hAnsi="Verdana" w:cs="Verdana"/>
                <w:b/>
                <w:bCs/>
                <w:i/>
                <w:iCs/>
                <w:sz w:val="26"/>
                <w:szCs w:val="26"/>
              </w:rPr>
              <w:t>Sitt</w:t>
            </w:r>
            <w:proofErr w:type="spellEnd"/>
            <w:r>
              <w:rPr>
                <w:rFonts w:ascii="Verdana" w:hAnsi="Verdana" w:cs="Verdana"/>
                <w:b/>
                <w:bCs/>
                <w:i/>
                <w:iCs/>
                <w:sz w:val="26"/>
                <w:szCs w:val="26"/>
              </w:rPr>
              <w:t xml:space="preserve"> Marie Rose</w:t>
            </w:r>
            <w:r>
              <w:rPr>
                <w:rFonts w:ascii="Verdana" w:hAnsi="Verdana" w:cs="Verdana"/>
                <w:b/>
                <w:bCs/>
                <w:sz w:val="26"/>
                <w:szCs w:val="26"/>
              </w:rPr>
              <w:t xml:space="preserve"> (trans. Georgina </w:t>
            </w:r>
            <w:proofErr w:type="spellStart"/>
            <w:r>
              <w:rPr>
                <w:rFonts w:ascii="Verdana" w:hAnsi="Verdana" w:cs="Verdana"/>
                <w:b/>
                <w:bCs/>
                <w:sz w:val="26"/>
                <w:szCs w:val="26"/>
              </w:rPr>
              <w:t>Kleege</w:t>
            </w:r>
            <w:proofErr w:type="spellEnd"/>
            <w:r>
              <w:rPr>
                <w:rFonts w:ascii="Verdana" w:hAnsi="Verdana" w:cs="Verdana"/>
                <w:b/>
                <w:bCs/>
                <w:sz w:val="26"/>
                <w:szCs w:val="26"/>
              </w:rPr>
              <w:t>) (Sausalito, CA: Post-Apollo Press, 1982).</w:t>
            </w:r>
          </w:p>
        </w:tc>
        <w:tc>
          <w:tcPr>
            <w:tcW w:w="1080" w:type="dxa"/>
            <w:shd w:val="clear" w:color="auto" w:fill="FFFFFF"/>
            <w:tcMar>
              <w:top w:w="100" w:type="nil"/>
              <w:left w:w="100" w:type="nil"/>
              <w:bottom w:w="100" w:type="nil"/>
              <w:right w:w="100" w:type="nil"/>
            </w:tcMar>
            <w:vAlign w:val="center"/>
          </w:tcPr>
          <w:p w14:paraId="15E171A6" w14:textId="77777777" w:rsidR="00D204FD" w:rsidRDefault="00D204FD">
            <w:pPr>
              <w:widowControl w:val="0"/>
              <w:autoSpaceDE w:val="0"/>
              <w:autoSpaceDN w:val="0"/>
              <w:adjustRightInd w:val="0"/>
              <w:rPr>
                <w:rFonts w:ascii="Verdana" w:hAnsi="Verdana" w:cs="Verdana"/>
                <w:sz w:val="26"/>
                <w:szCs w:val="26"/>
              </w:rPr>
            </w:pPr>
            <w:hyperlink r:id="rId15" w:history="1">
              <w:r>
                <w:rPr>
                  <w:rFonts w:ascii="Verdana" w:hAnsi="Verdana" w:cs="Verdana"/>
                  <w:color w:val="646464"/>
                  <w:sz w:val="26"/>
                  <w:szCs w:val="26"/>
                </w:rPr>
                <w:t>MER118</w:t>
              </w:r>
            </w:hyperlink>
          </w:p>
        </w:tc>
      </w:tr>
    </w:tbl>
    <w:p w14:paraId="5A701654" w14:textId="7C3E56BB" w:rsidR="001E7332" w:rsidRPr="001E7332" w:rsidRDefault="001E7332" w:rsidP="00D204FD">
      <w:pPr>
        <w:widowControl w:val="0"/>
        <w:autoSpaceDE w:val="0"/>
        <w:autoSpaceDN w:val="0"/>
        <w:adjustRightInd w:val="0"/>
        <w:spacing w:after="300"/>
        <w:jc w:val="both"/>
        <w:rPr>
          <w:rFonts w:ascii="Times New Roman" w:eastAsia="Times New Roman" w:hAnsi="Times New Roman" w:cs="Times New Roman"/>
          <w:sz w:val="28"/>
          <w:szCs w:val="28"/>
        </w:rPr>
      </w:pPr>
    </w:p>
    <w:sectPr w:rsidR="001E7332" w:rsidRPr="001E7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2"/>
  </w:num>
  <w:num w:numId="4">
    <w:abstractNumId w:val="6"/>
  </w:num>
  <w:num w:numId="5">
    <w:abstractNumId w:val="9"/>
  </w:num>
  <w:num w:numId="6">
    <w:abstractNumId w:val="8"/>
  </w:num>
  <w:num w:numId="7">
    <w:abstractNumId w:val="7"/>
  </w:num>
  <w:num w:numId="8">
    <w:abstractNumId w:val="10"/>
  </w:num>
  <w:num w:numId="9">
    <w:abstractNumId w:val="0"/>
  </w:num>
  <w:num w:numId="10">
    <w:abstractNumId w:val="1"/>
  </w:num>
  <w:num w:numId="11">
    <w:abstractNumId w:val="2"/>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C10D4"/>
    <w:rsid w:val="001140B2"/>
    <w:rsid w:val="00133A95"/>
    <w:rsid w:val="0014590F"/>
    <w:rsid w:val="001D5C79"/>
    <w:rsid w:val="001E15DD"/>
    <w:rsid w:val="001E7332"/>
    <w:rsid w:val="00234345"/>
    <w:rsid w:val="00256692"/>
    <w:rsid w:val="002A3342"/>
    <w:rsid w:val="00385362"/>
    <w:rsid w:val="00431025"/>
    <w:rsid w:val="004448A5"/>
    <w:rsid w:val="004F5687"/>
    <w:rsid w:val="006D62C4"/>
    <w:rsid w:val="00704BBB"/>
    <w:rsid w:val="00715A51"/>
    <w:rsid w:val="007213D7"/>
    <w:rsid w:val="008A3588"/>
    <w:rsid w:val="00A01257"/>
    <w:rsid w:val="00A52D75"/>
    <w:rsid w:val="00A53434"/>
    <w:rsid w:val="00AC152A"/>
    <w:rsid w:val="00AC5849"/>
    <w:rsid w:val="00AE4A6A"/>
    <w:rsid w:val="00B04FC5"/>
    <w:rsid w:val="00C84390"/>
    <w:rsid w:val="00D204FD"/>
    <w:rsid w:val="00DB572D"/>
    <w:rsid w:val="00F46BA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erip.org/mer/mer150" TargetMode="External"/><Relationship Id="rId12" Type="http://schemas.openxmlformats.org/officeDocument/2006/relationships/hyperlink" Target="http://www.merip.org/mer/mer118/campaign-terror" TargetMode="External"/><Relationship Id="rId13" Type="http://schemas.openxmlformats.org/officeDocument/2006/relationships/hyperlink" Target="http://www.merip.org/mer/mer118" TargetMode="External"/><Relationship Id="rId14" Type="http://schemas.openxmlformats.org/officeDocument/2006/relationships/hyperlink" Target="http://www.merip.org/mer/mer118/adnan-sitt-marie-rose" TargetMode="External"/><Relationship Id="rId15" Type="http://schemas.openxmlformats.org/officeDocument/2006/relationships/hyperlink" Target="http://www.merip.org/mer/mer118"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erip.org/mer/mer152/west-bank-rises" TargetMode="External"/><Relationship Id="rId7" Type="http://schemas.openxmlformats.org/officeDocument/2006/relationships/hyperlink" Target="http://www.merip.org/mer/mer152" TargetMode="External"/><Relationship Id="rId8" Type="http://schemas.openxmlformats.org/officeDocument/2006/relationships/hyperlink" Target="http://www.merip.org/mer/mer152/morning-ramallah-military-court" TargetMode="External"/><Relationship Id="rId9" Type="http://schemas.openxmlformats.org/officeDocument/2006/relationships/hyperlink" Target="http://www.merip.org/mer/mer152" TargetMode="External"/><Relationship Id="rId10" Type="http://schemas.openxmlformats.org/officeDocument/2006/relationships/hyperlink" Target="http://www.merip.org/mer/mer150/lamb-ar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2015-02-24T05:55:00Z</dcterms:created>
  <dcterms:modified xsi:type="dcterms:W3CDTF">2015-02-24T05:55:00Z</dcterms:modified>
</cp:coreProperties>
</file>