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F983" w14:textId="77777777" w:rsidR="00617484" w:rsidRPr="000D1EDC" w:rsidRDefault="00617484" w:rsidP="00617484">
      <w:pPr>
        <w:spacing w:line="360" w:lineRule="auto"/>
        <w:jc w:val="right"/>
        <w:rPr>
          <w:bCs/>
          <w:i/>
          <w:sz w:val="28"/>
          <w:szCs w:val="28"/>
          <w:u w:val="single"/>
          <w:lang w:val="en-GB"/>
        </w:rPr>
      </w:pPr>
      <w:r w:rsidRPr="000D1EDC">
        <w:rPr>
          <w:bCs/>
          <w:i/>
          <w:sz w:val="28"/>
          <w:szCs w:val="28"/>
          <w:u w:val="single"/>
          <w:lang w:val="en-GB"/>
        </w:rPr>
        <w:t>Check against delivery</w:t>
      </w:r>
    </w:p>
    <w:p w14:paraId="2392F984" w14:textId="77777777" w:rsidR="00617484" w:rsidRDefault="00617484" w:rsidP="00617484">
      <w:pPr>
        <w:spacing w:line="360" w:lineRule="auto"/>
        <w:jc w:val="right"/>
        <w:rPr>
          <w:bCs/>
          <w:sz w:val="28"/>
          <w:szCs w:val="28"/>
          <w:u w:val="single"/>
          <w:lang w:val="en-GB"/>
        </w:rPr>
      </w:pPr>
    </w:p>
    <w:p w14:paraId="2392F985" w14:textId="77777777" w:rsidR="00617484" w:rsidRDefault="00617484" w:rsidP="00617484">
      <w:pPr>
        <w:spacing w:line="360" w:lineRule="auto"/>
        <w:jc w:val="right"/>
        <w:rPr>
          <w:bCs/>
          <w:sz w:val="28"/>
          <w:szCs w:val="28"/>
          <w:u w:val="single"/>
          <w:lang w:val="en-GB"/>
        </w:rPr>
      </w:pPr>
    </w:p>
    <w:p w14:paraId="2392F986" w14:textId="77777777" w:rsidR="00617484" w:rsidRDefault="00617484" w:rsidP="00617484">
      <w:pPr>
        <w:spacing w:line="360" w:lineRule="auto"/>
        <w:rPr>
          <w:b/>
          <w:sz w:val="28"/>
          <w:szCs w:val="28"/>
          <w:lang w:val="en-GB"/>
        </w:rPr>
      </w:pPr>
    </w:p>
    <w:p w14:paraId="2392F987" w14:textId="77777777" w:rsidR="00617484" w:rsidRDefault="00617484" w:rsidP="00617484">
      <w:pPr>
        <w:jc w:val="center"/>
        <w:rPr>
          <w:b/>
          <w:sz w:val="32"/>
          <w:szCs w:val="32"/>
          <w:lang w:val="en-GB"/>
        </w:rPr>
      </w:pPr>
      <w:r w:rsidRPr="002F11C2">
        <w:rPr>
          <w:b/>
          <w:sz w:val="32"/>
          <w:szCs w:val="32"/>
          <w:lang w:val="en-GB"/>
        </w:rPr>
        <w:t xml:space="preserve">Human Rights Council </w:t>
      </w:r>
      <w:r w:rsidR="00CA174C">
        <w:rPr>
          <w:b/>
          <w:sz w:val="32"/>
          <w:szCs w:val="32"/>
          <w:lang w:val="en-GB"/>
        </w:rPr>
        <w:t>2</w:t>
      </w:r>
      <w:r w:rsidR="00D00B42">
        <w:rPr>
          <w:b/>
          <w:sz w:val="32"/>
          <w:szCs w:val="32"/>
          <w:lang w:val="en-GB"/>
        </w:rPr>
        <w:t>5</w:t>
      </w:r>
      <w:r w:rsidR="00D00B42" w:rsidRPr="00D00B42">
        <w:rPr>
          <w:b/>
          <w:sz w:val="32"/>
          <w:szCs w:val="32"/>
          <w:vertAlign w:val="superscript"/>
          <w:lang w:val="en-GB"/>
        </w:rPr>
        <w:t>th</w:t>
      </w:r>
      <w:r w:rsidR="00D00B42">
        <w:rPr>
          <w:b/>
          <w:sz w:val="32"/>
          <w:szCs w:val="32"/>
          <w:lang w:val="en-GB"/>
        </w:rPr>
        <w:t xml:space="preserve"> </w:t>
      </w:r>
      <w:r w:rsidRPr="002F11C2">
        <w:rPr>
          <w:b/>
          <w:sz w:val="32"/>
          <w:szCs w:val="32"/>
          <w:lang w:val="en-GB"/>
        </w:rPr>
        <w:t>Session</w:t>
      </w:r>
    </w:p>
    <w:p w14:paraId="2392F988" w14:textId="77777777" w:rsidR="00617484" w:rsidRDefault="00617484" w:rsidP="00617484">
      <w:pPr>
        <w:jc w:val="center"/>
        <w:rPr>
          <w:b/>
          <w:sz w:val="32"/>
          <w:szCs w:val="32"/>
          <w:lang w:val="en-GB"/>
        </w:rPr>
      </w:pPr>
    </w:p>
    <w:p w14:paraId="2392F989" w14:textId="77777777" w:rsidR="00617484" w:rsidRDefault="00617484" w:rsidP="00617484">
      <w:pPr>
        <w:jc w:val="center"/>
        <w:rPr>
          <w:b/>
          <w:sz w:val="32"/>
          <w:szCs w:val="32"/>
          <w:lang w:val="en-GB"/>
        </w:rPr>
      </w:pPr>
    </w:p>
    <w:p w14:paraId="2392F98A" w14:textId="77777777" w:rsidR="00617484" w:rsidRDefault="00617484" w:rsidP="00617484">
      <w:pPr>
        <w:jc w:val="center"/>
        <w:rPr>
          <w:b/>
          <w:sz w:val="32"/>
          <w:szCs w:val="32"/>
          <w:lang w:val="en-GB"/>
        </w:rPr>
      </w:pPr>
      <w:r>
        <w:rPr>
          <w:b/>
          <w:sz w:val="32"/>
          <w:szCs w:val="32"/>
          <w:lang w:val="en-GB"/>
        </w:rPr>
        <w:t>Agenda Item 7</w:t>
      </w:r>
    </w:p>
    <w:p w14:paraId="2392F98B" w14:textId="77777777" w:rsidR="00617484" w:rsidRDefault="00617484" w:rsidP="00617484">
      <w:pPr>
        <w:spacing w:line="360" w:lineRule="auto"/>
        <w:jc w:val="right"/>
        <w:rPr>
          <w:bCs/>
          <w:sz w:val="28"/>
          <w:szCs w:val="28"/>
          <w:u w:val="single"/>
          <w:lang w:val="en-GB"/>
        </w:rPr>
      </w:pPr>
    </w:p>
    <w:p w14:paraId="2392F98C" w14:textId="77777777" w:rsidR="00617484" w:rsidRPr="00484362" w:rsidRDefault="00617484" w:rsidP="00617484">
      <w:pPr>
        <w:spacing w:line="360" w:lineRule="auto"/>
        <w:jc w:val="right"/>
        <w:rPr>
          <w:bCs/>
          <w:sz w:val="28"/>
          <w:szCs w:val="28"/>
          <w:u w:val="single"/>
          <w:lang w:val="en-GB"/>
        </w:rPr>
      </w:pPr>
    </w:p>
    <w:p w14:paraId="2392F98D" w14:textId="77777777" w:rsidR="00617484" w:rsidRDefault="00617484" w:rsidP="00617484">
      <w:pPr>
        <w:spacing w:line="360" w:lineRule="auto"/>
        <w:jc w:val="right"/>
        <w:rPr>
          <w:bCs/>
          <w:sz w:val="28"/>
          <w:szCs w:val="28"/>
          <w:u w:val="single"/>
          <w:lang w:val="en-GB"/>
        </w:rPr>
      </w:pPr>
    </w:p>
    <w:p w14:paraId="2392F98E" w14:textId="77777777" w:rsidR="00617484" w:rsidRDefault="00617484" w:rsidP="00617484">
      <w:pPr>
        <w:spacing w:line="360" w:lineRule="auto"/>
        <w:jc w:val="right"/>
        <w:rPr>
          <w:bCs/>
          <w:sz w:val="28"/>
          <w:szCs w:val="28"/>
          <w:u w:val="single"/>
          <w:lang w:val="en-GB"/>
        </w:rPr>
      </w:pPr>
    </w:p>
    <w:p w14:paraId="2392F98F" w14:textId="77777777" w:rsidR="00617484" w:rsidRPr="002F11C2" w:rsidRDefault="00617484" w:rsidP="00617484">
      <w:pPr>
        <w:spacing w:line="360" w:lineRule="auto"/>
        <w:jc w:val="center"/>
        <w:rPr>
          <w:bCs/>
          <w:sz w:val="28"/>
          <w:szCs w:val="28"/>
          <w:u w:val="single"/>
          <w:lang w:val="en-GB"/>
        </w:rPr>
      </w:pPr>
      <w:r>
        <w:rPr>
          <w:noProof/>
          <w:lang w:eastAsia="en-US"/>
        </w:rPr>
        <w:drawing>
          <wp:inline distT="0" distB="0" distL="0" distR="0" wp14:anchorId="2392F9C2" wp14:editId="2392F9C3">
            <wp:extent cx="3103880" cy="1429385"/>
            <wp:effectExtent l="0" t="0" r="0" b="0"/>
            <wp:docPr id="1" name="Picture 1" descr="Office_logo_EN_black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ack_SMALL_72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3880" cy="1429385"/>
                    </a:xfrm>
                    <a:prstGeom prst="rect">
                      <a:avLst/>
                    </a:prstGeom>
                    <a:noFill/>
                    <a:ln>
                      <a:noFill/>
                    </a:ln>
                  </pic:spPr>
                </pic:pic>
              </a:graphicData>
            </a:graphic>
          </wp:inline>
        </w:drawing>
      </w:r>
    </w:p>
    <w:p w14:paraId="2392F990" w14:textId="77777777" w:rsidR="00617484" w:rsidRDefault="00617484" w:rsidP="00617484">
      <w:pPr>
        <w:spacing w:line="360" w:lineRule="auto"/>
        <w:rPr>
          <w:b/>
          <w:sz w:val="28"/>
          <w:szCs w:val="28"/>
          <w:lang w:val="en-GB"/>
        </w:rPr>
      </w:pPr>
    </w:p>
    <w:p w14:paraId="2392F991" w14:textId="77777777" w:rsidR="00617484" w:rsidRDefault="00617484" w:rsidP="00617484">
      <w:pPr>
        <w:spacing w:line="360" w:lineRule="auto"/>
        <w:rPr>
          <w:b/>
          <w:sz w:val="28"/>
          <w:szCs w:val="28"/>
          <w:lang w:val="en-GB"/>
        </w:rPr>
      </w:pPr>
    </w:p>
    <w:p w14:paraId="2392F992" w14:textId="77777777" w:rsidR="00617484" w:rsidRDefault="00617484" w:rsidP="00617484">
      <w:pPr>
        <w:spacing w:line="360" w:lineRule="auto"/>
        <w:jc w:val="center"/>
        <w:rPr>
          <w:bCs/>
          <w:sz w:val="32"/>
          <w:szCs w:val="32"/>
        </w:rPr>
      </w:pPr>
    </w:p>
    <w:p w14:paraId="2392F993" w14:textId="77777777" w:rsidR="00617484" w:rsidRDefault="00617484" w:rsidP="00617484">
      <w:pPr>
        <w:spacing w:line="360" w:lineRule="auto"/>
        <w:jc w:val="center"/>
        <w:rPr>
          <w:bCs/>
          <w:sz w:val="32"/>
          <w:szCs w:val="32"/>
        </w:rPr>
      </w:pPr>
    </w:p>
    <w:p w14:paraId="2392F994" w14:textId="77777777" w:rsidR="00617484" w:rsidRPr="002F11C2" w:rsidRDefault="00617484" w:rsidP="00617484">
      <w:pPr>
        <w:spacing w:line="360" w:lineRule="auto"/>
        <w:jc w:val="center"/>
        <w:rPr>
          <w:bCs/>
          <w:sz w:val="32"/>
          <w:szCs w:val="32"/>
        </w:rPr>
      </w:pPr>
    </w:p>
    <w:p w14:paraId="2392F995" w14:textId="77777777" w:rsidR="00617484" w:rsidRDefault="00617484" w:rsidP="00617484">
      <w:pPr>
        <w:jc w:val="center"/>
        <w:rPr>
          <w:b/>
          <w:sz w:val="32"/>
          <w:szCs w:val="32"/>
          <w:lang w:val="en-GB"/>
        </w:rPr>
      </w:pPr>
      <w:r>
        <w:rPr>
          <w:b/>
          <w:sz w:val="32"/>
          <w:szCs w:val="32"/>
          <w:lang w:val="en-GB"/>
        </w:rPr>
        <w:t>Introductory remarks</w:t>
      </w:r>
      <w:r w:rsidRPr="002F11C2">
        <w:rPr>
          <w:b/>
          <w:sz w:val="32"/>
          <w:szCs w:val="32"/>
          <w:lang w:val="en-GB"/>
        </w:rPr>
        <w:t xml:space="preserve"> by </w:t>
      </w:r>
    </w:p>
    <w:p w14:paraId="2392F996" w14:textId="77777777" w:rsidR="00617484" w:rsidRPr="002F11C2" w:rsidRDefault="00617484" w:rsidP="00617484">
      <w:pPr>
        <w:jc w:val="center"/>
        <w:rPr>
          <w:b/>
          <w:sz w:val="32"/>
          <w:szCs w:val="32"/>
          <w:lang w:val="en-GB"/>
        </w:rPr>
      </w:pPr>
      <w:r w:rsidRPr="002F11C2">
        <w:rPr>
          <w:b/>
          <w:sz w:val="32"/>
          <w:szCs w:val="32"/>
          <w:lang w:val="en-GB"/>
        </w:rPr>
        <w:t>Ms. Nav</w:t>
      </w:r>
      <w:r>
        <w:rPr>
          <w:b/>
          <w:sz w:val="32"/>
          <w:szCs w:val="32"/>
          <w:lang w:val="en-GB"/>
        </w:rPr>
        <w:t>i</w:t>
      </w:r>
      <w:r w:rsidRPr="002F11C2">
        <w:rPr>
          <w:b/>
          <w:sz w:val="32"/>
          <w:szCs w:val="32"/>
          <w:lang w:val="en-GB"/>
        </w:rPr>
        <w:t xml:space="preserve"> Pillay </w:t>
      </w:r>
    </w:p>
    <w:p w14:paraId="2392F997" w14:textId="77777777" w:rsidR="00617484" w:rsidRPr="002F11C2" w:rsidRDefault="00617484" w:rsidP="00617484">
      <w:pPr>
        <w:jc w:val="center"/>
        <w:rPr>
          <w:sz w:val="32"/>
          <w:szCs w:val="32"/>
          <w:lang w:val="en-GB"/>
        </w:rPr>
      </w:pPr>
      <w:r w:rsidRPr="002F11C2">
        <w:rPr>
          <w:b/>
          <w:sz w:val="32"/>
          <w:szCs w:val="32"/>
          <w:lang w:val="en-GB"/>
        </w:rPr>
        <w:t>United Nations High Commissioner for Human Rights</w:t>
      </w:r>
    </w:p>
    <w:p w14:paraId="2392F998" w14:textId="77777777" w:rsidR="00617484" w:rsidRPr="002F11C2" w:rsidRDefault="00617484" w:rsidP="00617484">
      <w:pPr>
        <w:spacing w:line="360" w:lineRule="auto"/>
        <w:jc w:val="center"/>
        <w:rPr>
          <w:sz w:val="32"/>
          <w:szCs w:val="32"/>
          <w:lang w:val="en-GB"/>
        </w:rPr>
      </w:pPr>
    </w:p>
    <w:p w14:paraId="2392F999" w14:textId="77777777" w:rsidR="00617484" w:rsidRPr="002F11C2" w:rsidRDefault="00617484" w:rsidP="00617484">
      <w:pPr>
        <w:spacing w:line="360" w:lineRule="auto"/>
        <w:jc w:val="center"/>
        <w:rPr>
          <w:sz w:val="32"/>
          <w:szCs w:val="32"/>
          <w:lang w:val="en-GB"/>
        </w:rPr>
      </w:pPr>
    </w:p>
    <w:p w14:paraId="2392F99A" w14:textId="77777777" w:rsidR="00617484" w:rsidRPr="002F11C2" w:rsidRDefault="00617484" w:rsidP="00617484">
      <w:pPr>
        <w:spacing w:line="360" w:lineRule="auto"/>
        <w:jc w:val="center"/>
        <w:rPr>
          <w:sz w:val="32"/>
          <w:szCs w:val="32"/>
          <w:lang w:val="en-GB"/>
        </w:rPr>
      </w:pPr>
    </w:p>
    <w:p w14:paraId="2392F99B" w14:textId="77777777" w:rsidR="00617484" w:rsidRDefault="00617484" w:rsidP="00617484">
      <w:pPr>
        <w:jc w:val="center"/>
      </w:pPr>
      <w:r w:rsidRPr="001376D9">
        <w:rPr>
          <w:b/>
          <w:sz w:val="32"/>
          <w:szCs w:val="32"/>
        </w:rPr>
        <w:t xml:space="preserve">Geneva, </w:t>
      </w:r>
      <w:r w:rsidR="00D00B42" w:rsidRPr="001376D9">
        <w:rPr>
          <w:b/>
          <w:sz w:val="32"/>
          <w:szCs w:val="32"/>
        </w:rPr>
        <w:t>24</w:t>
      </w:r>
      <w:r w:rsidR="00D00B42">
        <w:rPr>
          <w:b/>
          <w:sz w:val="32"/>
          <w:szCs w:val="32"/>
        </w:rPr>
        <w:t xml:space="preserve"> </w:t>
      </w:r>
      <w:r>
        <w:rPr>
          <w:b/>
          <w:sz w:val="32"/>
          <w:szCs w:val="32"/>
        </w:rPr>
        <w:t xml:space="preserve">March </w:t>
      </w:r>
      <w:r w:rsidRPr="002F11C2">
        <w:rPr>
          <w:b/>
          <w:sz w:val="32"/>
          <w:szCs w:val="32"/>
        </w:rPr>
        <w:t>20</w:t>
      </w:r>
      <w:r>
        <w:rPr>
          <w:b/>
          <w:sz w:val="32"/>
          <w:szCs w:val="32"/>
        </w:rPr>
        <w:t>1</w:t>
      </w:r>
      <w:r w:rsidR="00D00B42">
        <w:rPr>
          <w:b/>
          <w:sz w:val="32"/>
          <w:szCs w:val="32"/>
        </w:rPr>
        <w:t>4</w:t>
      </w:r>
    </w:p>
    <w:p w14:paraId="2392F99C" w14:textId="77777777" w:rsidR="00617484" w:rsidRPr="0011002D" w:rsidRDefault="00617484" w:rsidP="00617484">
      <w:pPr>
        <w:spacing w:line="360" w:lineRule="auto"/>
        <w:jc w:val="center"/>
        <w:rPr>
          <w:b/>
          <w:bCs/>
        </w:rPr>
      </w:pPr>
    </w:p>
    <w:p w14:paraId="2392F99D" w14:textId="77777777" w:rsidR="00BD5C16" w:rsidRPr="000D1EDC" w:rsidRDefault="002257D4" w:rsidP="000D1EDC">
      <w:r w:rsidRPr="000D1EDC">
        <w:lastRenderedPageBreak/>
        <w:t>Mr.</w:t>
      </w:r>
      <w:r w:rsidR="00BD5C16" w:rsidRPr="000D1EDC">
        <w:t xml:space="preserve"> President,</w:t>
      </w:r>
    </w:p>
    <w:p w14:paraId="2392F99E" w14:textId="77777777" w:rsidR="00BD5C16" w:rsidRPr="000D1EDC" w:rsidRDefault="00BD5C16" w:rsidP="000D1EDC">
      <w:r w:rsidRPr="000D1EDC">
        <w:t>Distinguished Members of the Human Rights Council,</w:t>
      </w:r>
    </w:p>
    <w:p w14:paraId="2392F99F" w14:textId="77777777" w:rsidR="00BD5C16" w:rsidRPr="000D1EDC" w:rsidRDefault="00BD5C16" w:rsidP="000D1EDC">
      <w:r w:rsidRPr="000D1EDC">
        <w:t>Excellencies,</w:t>
      </w:r>
    </w:p>
    <w:p w14:paraId="2392F9A0" w14:textId="77777777" w:rsidR="00BD5C16" w:rsidRPr="000D1EDC" w:rsidRDefault="00BD5C16" w:rsidP="000D1EDC">
      <w:r w:rsidRPr="000D1EDC">
        <w:t>Ladies and Gentlemen,</w:t>
      </w:r>
    </w:p>
    <w:p w14:paraId="2392F9A1" w14:textId="77777777" w:rsidR="00BD5C16" w:rsidRPr="000D1EDC" w:rsidRDefault="00BD5C16" w:rsidP="000D1EDC"/>
    <w:p w14:paraId="2392F9A2" w14:textId="77777777" w:rsidR="00F81183" w:rsidRPr="000D1EDC" w:rsidRDefault="00617484" w:rsidP="000D1EDC">
      <w:r w:rsidRPr="000D1EDC">
        <w:tab/>
      </w:r>
      <w:r w:rsidR="00BD5C16" w:rsidRPr="000D1EDC">
        <w:t xml:space="preserve">I am pleased to </w:t>
      </w:r>
      <w:r w:rsidR="003773CC" w:rsidRPr="000D1EDC">
        <w:t xml:space="preserve">introduce </w:t>
      </w:r>
      <w:r w:rsidR="00D00B42" w:rsidRPr="000D1EDC">
        <w:t>four</w:t>
      </w:r>
      <w:r w:rsidR="00BD5C16" w:rsidRPr="000D1EDC">
        <w:t xml:space="preserve"> reports under agenda item 7</w:t>
      </w:r>
      <w:r w:rsidR="00D00B42" w:rsidRPr="000D1EDC">
        <w:t>, concerning the human rights situation in Palestine and other occupied Arab territories</w:t>
      </w:r>
      <w:r w:rsidR="00BD5C16" w:rsidRPr="000D1EDC">
        <w:t xml:space="preserve">. </w:t>
      </w:r>
    </w:p>
    <w:p w14:paraId="2392F9A3" w14:textId="77777777" w:rsidR="00F81183" w:rsidRPr="000D1EDC" w:rsidRDefault="00F81183" w:rsidP="000D1EDC">
      <w:pPr>
        <w:autoSpaceDE w:val="0"/>
        <w:autoSpaceDN w:val="0"/>
        <w:adjustRightInd w:val="0"/>
        <w:rPr>
          <w:color w:val="000000"/>
          <w:lang w:val="en-GB"/>
        </w:rPr>
      </w:pPr>
      <w:r w:rsidRPr="000D1EDC">
        <w:rPr>
          <w:color w:val="000000"/>
          <w:lang w:val="en-GB"/>
        </w:rPr>
        <w:tab/>
      </w:r>
    </w:p>
    <w:p w14:paraId="2392F9A4" w14:textId="77777777" w:rsidR="00DB203C" w:rsidRPr="000D1EDC" w:rsidRDefault="00F35DD3" w:rsidP="000D1EDC">
      <w:pPr>
        <w:autoSpaceDE w:val="0"/>
        <w:autoSpaceDN w:val="0"/>
        <w:adjustRightInd w:val="0"/>
        <w:rPr>
          <w:color w:val="000000"/>
        </w:rPr>
      </w:pPr>
      <w:r w:rsidRPr="000D1EDC">
        <w:rPr>
          <w:color w:val="000000"/>
          <w:lang w:val="en-GB"/>
        </w:rPr>
        <w:tab/>
      </w:r>
      <w:r w:rsidR="00DB203C" w:rsidRPr="000D1EDC">
        <w:rPr>
          <w:color w:val="000000"/>
          <w:lang w:val="en-GB"/>
        </w:rPr>
        <w:t xml:space="preserve">In line with </w:t>
      </w:r>
      <w:r w:rsidR="00DB203C" w:rsidRPr="000D1EDC">
        <w:rPr>
          <w:color w:val="000000"/>
        </w:rPr>
        <w:t xml:space="preserve">Human Rights Council resolutions S-9/1 and S-12/1, I present my sixth periodic report on the human rights situation in the Occupied Palestinian Territory. The report, which is based primarily on human rights monitoring carried out by my office in </w:t>
      </w:r>
      <w:r w:rsidR="00317F81" w:rsidRPr="000D1EDC">
        <w:rPr>
          <w:color w:val="000000"/>
        </w:rPr>
        <w:t xml:space="preserve">the State of </w:t>
      </w:r>
      <w:r w:rsidR="00DB203C" w:rsidRPr="000D1EDC">
        <w:rPr>
          <w:color w:val="000000"/>
        </w:rPr>
        <w:t>Palestine, highlights issues of concern and sets out recommendations with regard to each of the main duty bearers in the Occupied Palestinian Territory, namely the Government of Israel, the Palestinian Authority and the de facto authorities in Gaza.</w:t>
      </w:r>
    </w:p>
    <w:p w14:paraId="2392F9A5" w14:textId="77777777" w:rsidR="009D0709" w:rsidRPr="000D1EDC" w:rsidRDefault="009D0709" w:rsidP="000D1EDC">
      <w:pPr>
        <w:autoSpaceDE w:val="0"/>
        <w:autoSpaceDN w:val="0"/>
        <w:adjustRightInd w:val="0"/>
        <w:rPr>
          <w:color w:val="000000"/>
          <w:lang w:val="en-GB"/>
        </w:rPr>
      </w:pPr>
    </w:p>
    <w:p w14:paraId="2392F9A6" w14:textId="77777777" w:rsidR="009D0709" w:rsidRPr="000D1EDC" w:rsidRDefault="009D0709" w:rsidP="000D1EDC">
      <w:pPr>
        <w:autoSpaceDE w:val="0"/>
        <w:autoSpaceDN w:val="0"/>
        <w:adjustRightInd w:val="0"/>
        <w:ind w:firstLine="720"/>
        <w:rPr>
          <w:color w:val="000000"/>
          <w:lang w:val="en-GB"/>
        </w:rPr>
      </w:pPr>
      <w:r w:rsidRPr="000D1EDC">
        <w:rPr>
          <w:color w:val="000000"/>
          <w:lang w:val="en-GB"/>
        </w:rPr>
        <w:t xml:space="preserve">By resolution 22/29, the Human Rights Council also requested that I report on the status of implementation of the recommendations contained in the report of the independent international fact-finding mission on the implications of Israeli </w:t>
      </w:r>
      <w:bookmarkStart w:id="0" w:name="_GoBack"/>
      <w:r w:rsidRPr="000D1EDC">
        <w:rPr>
          <w:color w:val="000000"/>
          <w:lang w:val="en-GB"/>
        </w:rPr>
        <w:t>settlement</w:t>
      </w:r>
      <w:bookmarkEnd w:id="0"/>
      <w:r w:rsidRPr="000D1EDC">
        <w:rPr>
          <w:color w:val="000000"/>
          <w:lang w:val="en-GB"/>
        </w:rPr>
        <w:t xml:space="preserve">s on the civil, political, economic, social and cultural rights of the Palestinian people throughout the Occupied Palestinian Territory, including East Jerusalem. This report, before you today, addresses continued Israeli settlement activity, settler violence and accountability, Palestinian detainees, including children in Israeli custody, as well as </w:t>
      </w:r>
      <w:r w:rsidR="00AC68C9" w:rsidRPr="000D1EDC">
        <w:rPr>
          <w:rFonts w:eastAsiaTheme="minorEastAsia" w:hint="eastAsia"/>
          <w:color w:val="000000"/>
          <w:lang w:val="en-GB" w:eastAsia="ja-JP"/>
        </w:rPr>
        <w:t xml:space="preserve">the responsibilities of </w:t>
      </w:r>
      <w:r w:rsidRPr="000D1EDC">
        <w:rPr>
          <w:color w:val="000000"/>
          <w:lang w:val="en-GB"/>
        </w:rPr>
        <w:t>business</w:t>
      </w:r>
      <w:r w:rsidR="00AC68C9" w:rsidRPr="000D1EDC">
        <w:rPr>
          <w:rFonts w:eastAsiaTheme="minorEastAsia" w:hint="eastAsia"/>
          <w:color w:val="000000"/>
          <w:lang w:val="en-GB" w:eastAsia="ja-JP"/>
        </w:rPr>
        <w:t>es to respect</w:t>
      </w:r>
      <w:r w:rsidRPr="000D1EDC">
        <w:rPr>
          <w:color w:val="000000"/>
          <w:lang w:val="en-GB"/>
        </w:rPr>
        <w:t xml:space="preserve"> human rights in relation to the settlements</w:t>
      </w:r>
      <w:r w:rsidR="009A3CCC" w:rsidRPr="000D1EDC">
        <w:rPr>
          <w:color w:val="000000"/>
          <w:lang w:val="en-GB"/>
        </w:rPr>
        <w:t xml:space="preserve">. It </w:t>
      </w:r>
      <w:r w:rsidRPr="000D1EDC">
        <w:rPr>
          <w:color w:val="000000"/>
          <w:lang w:val="en-GB"/>
        </w:rPr>
        <w:t>also includes summaries of submissions received from Member States on steps that their Government had taken, envisaged taking or were otherwise aware of concerning the status of implementation of the</w:t>
      </w:r>
      <w:r w:rsidR="00AC0CA6" w:rsidRPr="000D1EDC">
        <w:rPr>
          <w:color w:val="000000"/>
          <w:lang w:val="en-GB"/>
        </w:rPr>
        <w:t>se</w:t>
      </w:r>
      <w:r w:rsidRPr="000D1EDC">
        <w:rPr>
          <w:color w:val="000000"/>
          <w:lang w:val="en-GB"/>
        </w:rPr>
        <w:t xml:space="preserve"> recommendations.</w:t>
      </w:r>
    </w:p>
    <w:p w14:paraId="2392F9A7" w14:textId="77777777" w:rsidR="004C0E69" w:rsidRPr="000D1EDC" w:rsidRDefault="004C0E69" w:rsidP="000D1EDC">
      <w:pPr>
        <w:autoSpaceDE w:val="0"/>
        <w:autoSpaceDN w:val="0"/>
        <w:adjustRightInd w:val="0"/>
        <w:rPr>
          <w:rFonts w:eastAsiaTheme="minorEastAsia"/>
          <w:color w:val="000000"/>
          <w:lang w:val="en-GB" w:eastAsia="ja-JP"/>
        </w:rPr>
      </w:pPr>
    </w:p>
    <w:p w14:paraId="2392F9A8" w14:textId="77777777" w:rsidR="00006E1E" w:rsidRPr="000D1EDC" w:rsidRDefault="00006E1E" w:rsidP="000D1EDC">
      <w:pPr>
        <w:autoSpaceDE w:val="0"/>
        <w:autoSpaceDN w:val="0"/>
        <w:adjustRightInd w:val="0"/>
        <w:ind w:firstLine="720"/>
        <w:rPr>
          <w:rFonts w:eastAsiaTheme="minorEastAsia"/>
          <w:color w:val="000000"/>
          <w:lang w:val="en-GB" w:eastAsia="ja-JP"/>
        </w:rPr>
      </w:pPr>
      <w:r w:rsidRPr="000D1EDC">
        <w:rPr>
          <w:rFonts w:eastAsiaTheme="minorEastAsia" w:hint="eastAsia"/>
          <w:color w:val="000000"/>
          <w:lang w:val="en-GB" w:eastAsia="ja-JP"/>
        </w:rPr>
        <w:t xml:space="preserve">There are also two reports </w:t>
      </w:r>
      <w:r w:rsidR="00045BA7" w:rsidRPr="000D1EDC">
        <w:rPr>
          <w:rFonts w:eastAsiaTheme="minorEastAsia"/>
          <w:color w:val="000000"/>
          <w:lang w:val="en-GB" w:eastAsia="ja-JP"/>
        </w:rPr>
        <w:t>by</w:t>
      </w:r>
      <w:r w:rsidR="00045BA7" w:rsidRPr="000D1EDC">
        <w:rPr>
          <w:rFonts w:eastAsiaTheme="minorEastAsia" w:hint="eastAsia"/>
          <w:color w:val="000000"/>
          <w:lang w:val="en-GB" w:eastAsia="ja-JP"/>
        </w:rPr>
        <w:t xml:space="preserve"> </w:t>
      </w:r>
      <w:r w:rsidRPr="000D1EDC">
        <w:rPr>
          <w:rFonts w:eastAsiaTheme="minorEastAsia" w:hint="eastAsia"/>
          <w:color w:val="000000"/>
          <w:lang w:val="en-GB" w:eastAsia="ja-JP"/>
        </w:rPr>
        <w:t xml:space="preserve">the Secretary-General before you. </w:t>
      </w:r>
      <w:r w:rsidRPr="000D1EDC">
        <w:rPr>
          <w:color w:val="000000"/>
          <w:lang w:val="en-GB"/>
        </w:rPr>
        <w:t>In accordance with Human Rights Council resolution 22/26 on the Israeli settlements in the Occupied Palestinian Territory, including East Jerusalem, and in the occupied Syrian Golan, the Secretary-General’s report highlights the impact of the settlement-related activities and planning policies of Israel on Palestinians’ human rights. It describes instances when the Government of Israel has failed to maintain public order, and stresses the almost complete lack of accountability regarding settler violence.</w:t>
      </w:r>
    </w:p>
    <w:p w14:paraId="2392F9A9" w14:textId="77777777" w:rsidR="00006E1E" w:rsidRPr="000D1EDC" w:rsidRDefault="00006E1E" w:rsidP="000D1EDC">
      <w:pPr>
        <w:autoSpaceDE w:val="0"/>
        <w:autoSpaceDN w:val="0"/>
        <w:adjustRightInd w:val="0"/>
        <w:ind w:firstLine="720"/>
        <w:rPr>
          <w:rFonts w:eastAsiaTheme="minorEastAsia"/>
          <w:color w:val="000000"/>
          <w:lang w:val="en-GB" w:eastAsia="ja-JP"/>
        </w:rPr>
      </w:pPr>
    </w:p>
    <w:p w14:paraId="2392F9AA" w14:textId="77777777" w:rsidR="00006E1E" w:rsidRPr="000D1EDC" w:rsidRDefault="00006E1E" w:rsidP="000D1EDC">
      <w:pPr>
        <w:autoSpaceDE w:val="0"/>
        <w:autoSpaceDN w:val="0"/>
        <w:adjustRightInd w:val="0"/>
        <w:ind w:firstLine="720"/>
        <w:rPr>
          <w:color w:val="000000"/>
          <w:lang w:val="en-GB"/>
        </w:rPr>
      </w:pPr>
      <w:r w:rsidRPr="000D1EDC">
        <w:rPr>
          <w:color w:val="000000"/>
          <w:lang w:val="en-GB"/>
        </w:rPr>
        <w:t xml:space="preserve">Pursuant to Human Rights Council resolution 22/17, the Secretary-General </w:t>
      </w:r>
      <w:r w:rsidRPr="000D1EDC">
        <w:rPr>
          <w:rFonts w:eastAsiaTheme="minorEastAsia" w:hint="eastAsia"/>
          <w:color w:val="000000"/>
          <w:lang w:val="en-GB" w:eastAsia="ja-JP"/>
        </w:rPr>
        <w:t xml:space="preserve">has also </w:t>
      </w:r>
      <w:r w:rsidRPr="000D1EDC">
        <w:rPr>
          <w:color w:val="000000"/>
          <w:lang w:val="en-GB"/>
        </w:rPr>
        <w:t xml:space="preserve">submitted a report on human rights in the occupied Syrian Golan. The report contains information provided by the Permanent Missions of the Syrian Arab Republic, of Ireland, of Cuba and of the European Union in response to a note verbale sent by OHCHR, on behalf of the Secretary-General, to all permanent missions in Geneva. The note verbale drew attention to resolution 22/17 and requested information on the implementation of the relevant provisions of the resolution. </w:t>
      </w:r>
    </w:p>
    <w:p w14:paraId="2392F9AB" w14:textId="77777777" w:rsidR="00006E1E" w:rsidRPr="000D1EDC" w:rsidRDefault="00006E1E" w:rsidP="000D1EDC">
      <w:pPr>
        <w:autoSpaceDE w:val="0"/>
        <w:autoSpaceDN w:val="0"/>
        <w:adjustRightInd w:val="0"/>
        <w:rPr>
          <w:rFonts w:eastAsiaTheme="minorEastAsia"/>
          <w:color w:val="000000"/>
          <w:lang w:val="en-GB" w:eastAsia="ja-JP"/>
        </w:rPr>
      </w:pPr>
    </w:p>
    <w:p w14:paraId="2392F9AC" w14:textId="77777777" w:rsidR="004A5ACD" w:rsidRPr="000D1EDC" w:rsidRDefault="004A5ACD" w:rsidP="000D1EDC">
      <w:pPr>
        <w:autoSpaceDE w:val="0"/>
        <w:autoSpaceDN w:val="0"/>
        <w:adjustRightInd w:val="0"/>
        <w:rPr>
          <w:color w:val="000000"/>
          <w:lang w:val="en-GB"/>
        </w:rPr>
      </w:pPr>
      <w:r w:rsidRPr="000D1EDC">
        <w:rPr>
          <w:color w:val="000000"/>
          <w:lang w:val="en-GB"/>
        </w:rPr>
        <w:t>Excellencies,</w:t>
      </w:r>
    </w:p>
    <w:p w14:paraId="2392F9AD" w14:textId="77777777" w:rsidR="004A5ACD" w:rsidRPr="000D1EDC" w:rsidRDefault="004A5ACD" w:rsidP="000D1EDC">
      <w:pPr>
        <w:autoSpaceDE w:val="0"/>
        <w:autoSpaceDN w:val="0"/>
        <w:adjustRightInd w:val="0"/>
        <w:rPr>
          <w:color w:val="000000"/>
          <w:lang w:val="en-GB"/>
        </w:rPr>
      </w:pPr>
    </w:p>
    <w:p w14:paraId="2392F9AE" w14:textId="77777777" w:rsidR="004C0E69" w:rsidRPr="000D1EDC" w:rsidRDefault="004C0E69" w:rsidP="000D1EDC">
      <w:pPr>
        <w:autoSpaceDE w:val="0"/>
        <w:autoSpaceDN w:val="0"/>
        <w:adjustRightInd w:val="0"/>
        <w:ind w:firstLine="720"/>
        <w:rPr>
          <w:color w:val="000000"/>
          <w:lang w:val="en-GB"/>
        </w:rPr>
      </w:pPr>
      <w:r w:rsidRPr="000D1EDC">
        <w:rPr>
          <w:color w:val="000000"/>
          <w:lang w:val="en-GB"/>
        </w:rPr>
        <w:t>During my mandate as High Commissioner, I have consistently raised concerns regarding the</w:t>
      </w:r>
      <w:r w:rsidR="00A02F64" w:rsidRPr="000D1EDC">
        <w:rPr>
          <w:color w:val="000000"/>
          <w:lang w:val="en-GB"/>
        </w:rPr>
        <w:t xml:space="preserve"> human rights situation in the Occupied Palestinian T</w:t>
      </w:r>
      <w:r w:rsidRPr="000D1EDC">
        <w:rPr>
          <w:color w:val="000000"/>
          <w:lang w:val="en-GB"/>
        </w:rPr>
        <w:t xml:space="preserve">erritory, including during my visit to the region in 2011. I have made constructive and realistic </w:t>
      </w:r>
      <w:r w:rsidR="00A74066" w:rsidRPr="000D1EDC">
        <w:rPr>
          <w:color w:val="000000"/>
          <w:lang w:val="en-GB"/>
        </w:rPr>
        <w:lastRenderedPageBreak/>
        <w:t xml:space="preserve">recommendations to </w:t>
      </w:r>
      <w:r w:rsidR="00B27AE5" w:rsidRPr="000D1EDC">
        <w:rPr>
          <w:color w:val="000000"/>
          <w:lang w:val="en-GB"/>
        </w:rPr>
        <w:t xml:space="preserve">all </w:t>
      </w:r>
      <w:r w:rsidR="00A74066" w:rsidRPr="000D1EDC">
        <w:rPr>
          <w:color w:val="000000"/>
          <w:lang w:val="en-GB"/>
        </w:rPr>
        <w:t>duty-bearers</w:t>
      </w:r>
      <w:r w:rsidRPr="000D1EDC">
        <w:rPr>
          <w:color w:val="000000"/>
        </w:rPr>
        <w:t xml:space="preserve">. </w:t>
      </w:r>
      <w:r w:rsidR="00A74066" w:rsidRPr="000D1EDC">
        <w:rPr>
          <w:color w:val="000000"/>
        </w:rPr>
        <w:t xml:space="preserve">At this year’s Human Rights Council session, once again I introduce reports which make detailed recommendations that, </w:t>
      </w:r>
      <w:r w:rsidR="00A74066" w:rsidRPr="000D1EDC">
        <w:rPr>
          <w:color w:val="000000"/>
          <w:lang w:val="en-GB"/>
        </w:rPr>
        <w:t xml:space="preserve">if implemented, </w:t>
      </w:r>
      <w:r w:rsidR="00A74066" w:rsidRPr="000D1EDC">
        <w:rPr>
          <w:color w:val="000000"/>
        </w:rPr>
        <w:t xml:space="preserve">would improve the human rights situation and protect civilians from violence and insecurity. </w:t>
      </w:r>
      <w:r w:rsidR="004575BF" w:rsidRPr="000D1EDC">
        <w:rPr>
          <w:color w:val="000000"/>
        </w:rPr>
        <w:t>It is my firm belief that i</w:t>
      </w:r>
      <w:r w:rsidR="001376D9" w:rsidRPr="000D1EDC">
        <w:rPr>
          <w:color w:val="000000"/>
        </w:rPr>
        <w:t xml:space="preserve">n the context of the current political negotiations, addressing </w:t>
      </w:r>
      <w:r w:rsidR="00045BA7" w:rsidRPr="000D1EDC">
        <w:rPr>
          <w:color w:val="000000"/>
        </w:rPr>
        <w:t xml:space="preserve">key </w:t>
      </w:r>
      <w:r w:rsidR="001376D9" w:rsidRPr="000D1EDC">
        <w:rPr>
          <w:color w:val="000000"/>
        </w:rPr>
        <w:t xml:space="preserve">human rights issues </w:t>
      </w:r>
      <w:r w:rsidR="00045BA7" w:rsidRPr="000D1EDC">
        <w:rPr>
          <w:color w:val="000000"/>
        </w:rPr>
        <w:t>w</w:t>
      </w:r>
      <w:r w:rsidR="001376D9" w:rsidRPr="000D1EDC">
        <w:rPr>
          <w:color w:val="000000"/>
        </w:rPr>
        <w:t xml:space="preserve">ould genuinely </w:t>
      </w:r>
      <w:r w:rsidR="00254BDC" w:rsidRPr="000D1EDC">
        <w:rPr>
          <w:color w:val="000000"/>
        </w:rPr>
        <w:t xml:space="preserve">help to further the peace process and build confidence between the parties. </w:t>
      </w:r>
    </w:p>
    <w:p w14:paraId="2392F9AF" w14:textId="77777777" w:rsidR="00A74066" w:rsidRPr="000D1EDC" w:rsidRDefault="00A74066" w:rsidP="000D1EDC">
      <w:pPr>
        <w:autoSpaceDE w:val="0"/>
        <w:autoSpaceDN w:val="0"/>
        <w:adjustRightInd w:val="0"/>
        <w:ind w:firstLine="720"/>
        <w:rPr>
          <w:color w:val="000000"/>
        </w:rPr>
      </w:pPr>
    </w:p>
    <w:p w14:paraId="2392F9B0" w14:textId="77777777" w:rsidR="00B71895" w:rsidRPr="000D1EDC" w:rsidRDefault="00A74066" w:rsidP="000D1EDC">
      <w:pPr>
        <w:autoSpaceDE w:val="0"/>
        <w:autoSpaceDN w:val="0"/>
        <w:adjustRightInd w:val="0"/>
        <w:ind w:firstLine="720"/>
        <w:rPr>
          <w:color w:val="000000"/>
          <w:lang w:val="en-GB"/>
        </w:rPr>
      </w:pPr>
      <w:r w:rsidRPr="000D1EDC">
        <w:rPr>
          <w:color w:val="000000"/>
        </w:rPr>
        <w:t xml:space="preserve">Allow me to take this opportunity to outline some key concerns and recommendations. </w:t>
      </w:r>
      <w:r w:rsidR="00C57C79" w:rsidRPr="000D1EDC">
        <w:rPr>
          <w:color w:val="000000"/>
        </w:rPr>
        <w:t>In relation to Israel</w:t>
      </w:r>
      <w:r w:rsidR="00E513BA" w:rsidRPr="000D1EDC">
        <w:rPr>
          <w:rFonts w:eastAsiaTheme="minorEastAsia" w:hint="eastAsia"/>
          <w:color w:val="000000"/>
          <w:lang w:eastAsia="ja-JP"/>
        </w:rPr>
        <w:t>i violations</w:t>
      </w:r>
      <w:r w:rsidR="00C57C79" w:rsidRPr="000D1EDC">
        <w:rPr>
          <w:color w:val="000000"/>
        </w:rPr>
        <w:t>, a</w:t>
      </w:r>
      <w:r w:rsidRPr="000D1EDC">
        <w:rPr>
          <w:color w:val="000000"/>
        </w:rPr>
        <w:t>ll the reports before you today highlight the issue</w:t>
      </w:r>
      <w:r w:rsidR="00AD6ED4" w:rsidRPr="000D1EDC">
        <w:rPr>
          <w:color w:val="000000"/>
        </w:rPr>
        <w:t xml:space="preserve"> of</w:t>
      </w:r>
      <w:r w:rsidRPr="000D1EDC">
        <w:rPr>
          <w:color w:val="000000"/>
        </w:rPr>
        <w:t xml:space="preserve"> settlements</w:t>
      </w:r>
      <w:r w:rsidR="006B6D28" w:rsidRPr="000D1EDC">
        <w:rPr>
          <w:color w:val="000000"/>
        </w:rPr>
        <w:t xml:space="preserve"> in the context of the Israeli military occupation now in its 47</w:t>
      </w:r>
      <w:r w:rsidR="006B6D28" w:rsidRPr="000D1EDC">
        <w:rPr>
          <w:color w:val="000000"/>
          <w:vertAlign w:val="superscript"/>
        </w:rPr>
        <w:t>th</w:t>
      </w:r>
      <w:r w:rsidR="006B6D28" w:rsidRPr="000D1EDC">
        <w:rPr>
          <w:color w:val="000000"/>
        </w:rPr>
        <w:t xml:space="preserve"> year</w:t>
      </w:r>
      <w:r w:rsidRPr="000D1EDC">
        <w:rPr>
          <w:color w:val="000000"/>
        </w:rPr>
        <w:t xml:space="preserve">. That is because </w:t>
      </w:r>
      <w:r w:rsidRPr="000D1EDC">
        <w:rPr>
          <w:color w:val="000000"/>
          <w:lang w:val="en-GB"/>
        </w:rPr>
        <w:t xml:space="preserve">Israeli settlement-related activities and settler violence are at the core of </w:t>
      </w:r>
      <w:r w:rsidR="00317F81" w:rsidRPr="000D1EDC">
        <w:rPr>
          <w:color w:val="000000"/>
          <w:lang w:val="en-GB"/>
        </w:rPr>
        <w:t xml:space="preserve">many </w:t>
      </w:r>
      <w:r w:rsidRPr="000D1EDC">
        <w:rPr>
          <w:color w:val="000000"/>
          <w:lang w:val="en-GB"/>
        </w:rPr>
        <w:t xml:space="preserve">of the violations of human rights in the </w:t>
      </w:r>
      <w:r w:rsidR="00E513BA" w:rsidRPr="000D1EDC">
        <w:rPr>
          <w:rFonts w:eastAsiaTheme="minorEastAsia" w:hint="eastAsia"/>
          <w:color w:val="000000"/>
          <w:lang w:val="en-GB" w:eastAsia="ja-JP"/>
        </w:rPr>
        <w:t>West Bank</w:t>
      </w:r>
      <w:r w:rsidRPr="000D1EDC">
        <w:rPr>
          <w:color w:val="000000"/>
          <w:lang w:val="en-GB"/>
        </w:rPr>
        <w:t xml:space="preserve">, including East Jerusalem. Israeli settlements </w:t>
      </w:r>
      <w:r w:rsidR="00E513BA" w:rsidRPr="000D1EDC">
        <w:rPr>
          <w:rFonts w:eastAsiaTheme="minorEastAsia" w:hint="eastAsia"/>
          <w:color w:val="000000"/>
          <w:lang w:val="en-GB" w:eastAsia="ja-JP"/>
        </w:rPr>
        <w:t xml:space="preserve">not only </w:t>
      </w:r>
      <w:r w:rsidR="00B3720B" w:rsidRPr="000D1EDC">
        <w:rPr>
          <w:rFonts w:eastAsiaTheme="minorEastAsia"/>
          <w:color w:val="000000"/>
          <w:lang w:val="en-GB" w:eastAsia="ja-JP"/>
        </w:rPr>
        <w:t>have a significant impact on</w:t>
      </w:r>
      <w:r w:rsidR="00E513BA" w:rsidRPr="000D1EDC">
        <w:rPr>
          <w:rFonts w:eastAsiaTheme="minorEastAsia" w:hint="eastAsia"/>
          <w:color w:val="000000"/>
          <w:lang w:val="en-GB" w:eastAsia="ja-JP"/>
        </w:rPr>
        <w:t xml:space="preserve"> the right to Palestinian self-determination</w:t>
      </w:r>
      <w:r w:rsidR="002452C9" w:rsidRPr="000D1EDC">
        <w:rPr>
          <w:rFonts w:eastAsiaTheme="minorEastAsia"/>
          <w:color w:val="000000"/>
          <w:lang w:val="en-GB" w:eastAsia="ja-JP"/>
        </w:rPr>
        <w:t xml:space="preserve">, but </w:t>
      </w:r>
      <w:r w:rsidR="00E513BA" w:rsidRPr="000D1EDC">
        <w:rPr>
          <w:rFonts w:eastAsiaTheme="minorEastAsia" w:hint="eastAsia"/>
          <w:color w:val="000000"/>
          <w:lang w:val="en-GB" w:eastAsia="ja-JP"/>
        </w:rPr>
        <w:t xml:space="preserve">settlement related activities and </w:t>
      </w:r>
      <w:r w:rsidRPr="000D1EDC">
        <w:rPr>
          <w:color w:val="000000"/>
          <w:lang w:val="en-GB"/>
        </w:rPr>
        <w:t xml:space="preserve">settler violence </w:t>
      </w:r>
      <w:r w:rsidR="00F64A48" w:rsidRPr="000D1EDC">
        <w:rPr>
          <w:color w:val="000000"/>
          <w:lang w:val="en-GB"/>
        </w:rPr>
        <w:t xml:space="preserve">also </w:t>
      </w:r>
      <w:r w:rsidRPr="000D1EDC">
        <w:rPr>
          <w:color w:val="000000"/>
          <w:lang w:val="en-GB"/>
        </w:rPr>
        <w:t xml:space="preserve">violate </w:t>
      </w:r>
      <w:r w:rsidR="00E513BA" w:rsidRPr="000D1EDC">
        <w:rPr>
          <w:rFonts w:eastAsiaTheme="minorEastAsia" w:hint="eastAsia"/>
          <w:color w:val="000000"/>
          <w:lang w:val="en-GB" w:eastAsia="ja-JP"/>
        </w:rPr>
        <w:t xml:space="preserve">the entire spectrum of </w:t>
      </w:r>
      <w:r w:rsidRPr="000D1EDC">
        <w:rPr>
          <w:color w:val="000000"/>
          <w:lang w:val="en-GB"/>
        </w:rPr>
        <w:t>Palestinians’ economic, social,</w:t>
      </w:r>
      <w:r w:rsidR="0012720F" w:rsidRPr="000D1EDC">
        <w:rPr>
          <w:color w:val="000000"/>
          <w:lang w:val="en-GB"/>
        </w:rPr>
        <w:t xml:space="preserve"> cultural,</w:t>
      </w:r>
      <w:r w:rsidRPr="000D1EDC">
        <w:rPr>
          <w:color w:val="000000"/>
          <w:lang w:val="en-GB"/>
        </w:rPr>
        <w:t xml:space="preserve"> civil and political rights. Despite repeated calls on Israel to </w:t>
      </w:r>
      <w:r w:rsidR="00197FDC" w:rsidRPr="000D1EDC">
        <w:rPr>
          <w:color w:val="000000"/>
          <w:lang w:val="en-GB"/>
        </w:rPr>
        <w:t xml:space="preserve">cease settlement activity, ongoing settlement construction and acts of settler violence </w:t>
      </w:r>
      <w:r w:rsidR="0010755F" w:rsidRPr="000D1EDC">
        <w:rPr>
          <w:color w:val="000000"/>
          <w:lang w:val="en-GB"/>
        </w:rPr>
        <w:t xml:space="preserve">continue </w:t>
      </w:r>
      <w:r w:rsidR="00197FDC" w:rsidRPr="000D1EDC">
        <w:rPr>
          <w:color w:val="000000"/>
          <w:lang w:val="en-GB"/>
        </w:rPr>
        <w:t xml:space="preserve">with devastating consequences for Palestinian civilians. </w:t>
      </w:r>
    </w:p>
    <w:p w14:paraId="2392F9B1" w14:textId="77777777" w:rsidR="00C74DEC" w:rsidRPr="000D1EDC" w:rsidRDefault="00C74DEC" w:rsidP="000D1EDC">
      <w:pPr>
        <w:autoSpaceDE w:val="0"/>
        <w:autoSpaceDN w:val="0"/>
        <w:adjustRightInd w:val="0"/>
        <w:ind w:firstLine="720"/>
        <w:rPr>
          <w:color w:val="000000"/>
          <w:lang w:val="en-GB"/>
        </w:rPr>
      </w:pPr>
    </w:p>
    <w:p w14:paraId="2392F9B2" w14:textId="77777777" w:rsidR="00686428" w:rsidRPr="000D1EDC" w:rsidRDefault="00C74DEC" w:rsidP="000D1EDC">
      <w:pPr>
        <w:autoSpaceDE w:val="0"/>
        <w:autoSpaceDN w:val="0"/>
        <w:adjustRightInd w:val="0"/>
        <w:ind w:firstLine="720"/>
        <w:rPr>
          <w:color w:val="000000"/>
          <w:lang w:val="en-GB"/>
        </w:rPr>
      </w:pPr>
      <w:r w:rsidRPr="000D1EDC">
        <w:rPr>
          <w:color w:val="000000"/>
          <w:lang w:val="en-GB"/>
        </w:rPr>
        <w:t xml:space="preserve">I continue to remain deeply concerned by the situation in Gaza. In recent </w:t>
      </w:r>
      <w:r w:rsidR="0012720F" w:rsidRPr="000D1EDC">
        <w:rPr>
          <w:color w:val="000000"/>
          <w:lang w:val="en-GB"/>
        </w:rPr>
        <w:t>month</w:t>
      </w:r>
      <w:r w:rsidRPr="000D1EDC">
        <w:rPr>
          <w:color w:val="000000"/>
          <w:lang w:val="en-GB"/>
        </w:rPr>
        <w:t xml:space="preserve">s, my Office has </w:t>
      </w:r>
      <w:r w:rsidR="0032687C" w:rsidRPr="000D1EDC">
        <w:rPr>
          <w:color w:val="000000"/>
          <w:lang w:val="en-GB"/>
        </w:rPr>
        <w:t>noted a rise in violence</w:t>
      </w:r>
      <w:r w:rsidR="003B3802" w:rsidRPr="000D1EDC">
        <w:rPr>
          <w:color w:val="000000"/>
          <w:lang w:val="en-GB"/>
        </w:rPr>
        <w:t xml:space="preserve"> in the </w:t>
      </w:r>
      <w:r w:rsidR="006F2DC8" w:rsidRPr="000D1EDC">
        <w:rPr>
          <w:rFonts w:eastAsiaTheme="minorEastAsia" w:hint="eastAsia"/>
          <w:color w:val="000000"/>
          <w:lang w:val="en-GB" w:eastAsia="ja-JP"/>
        </w:rPr>
        <w:t xml:space="preserve">Gaza </w:t>
      </w:r>
      <w:r w:rsidR="003B3802" w:rsidRPr="000D1EDC">
        <w:rPr>
          <w:color w:val="000000"/>
          <w:lang w:val="en-GB"/>
        </w:rPr>
        <w:t>Strip</w:t>
      </w:r>
      <w:r w:rsidR="0032687C" w:rsidRPr="000D1EDC">
        <w:rPr>
          <w:color w:val="000000"/>
          <w:lang w:val="en-GB"/>
        </w:rPr>
        <w:t>,</w:t>
      </w:r>
      <w:r w:rsidR="003B3802" w:rsidRPr="000D1EDC">
        <w:rPr>
          <w:color w:val="000000"/>
          <w:lang w:val="en-GB"/>
        </w:rPr>
        <w:t xml:space="preserve"> evidenced by </w:t>
      </w:r>
      <w:r w:rsidR="00E20124" w:rsidRPr="000D1EDC">
        <w:rPr>
          <w:color w:val="000000"/>
          <w:lang w:val="en-GB"/>
        </w:rPr>
        <w:t xml:space="preserve">increased </w:t>
      </w:r>
      <w:r w:rsidR="0032687C" w:rsidRPr="000D1EDC">
        <w:rPr>
          <w:color w:val="000000"/>
          <w:lang w:val="en-GB"/>
        </w:rPr>
        <w:t>rocket</w:t>
      </w:r>
      <w:r w:rsidR="00E20124" w:rsidRPr="000D1EDC">
        <w:rPr>
          <w:color w:val="000000"/>
          <w:lang w:val="en-GB"/>
        </w:rPr>
        <w:t xml:space="preserve"> and mortar </w:t>
      </w:r>
      <w:r w:rsidR="0032687C" w:rsidRPr="000D1EDC">
        <w:rPr>
          <w:color w:val="000000"/>
          <w:lang w:val="en-GB"/>
        </w:rPr>
        <w:t xml:space="preserve">fire </w:t>
      </w:r>
      <w:r w:rsidR="00E20124" w:rsidRPr="000D1EDC">
        <w:rPr>
          <w:color w:val="000000"/>
          <w:lang w:val="en-GB"/>
        </w:rPr>
        <w:t xml:space="preserve">directed by Palestinian armed groups </w:t>
      </w:r>
      <w:r w:rsidR="0032687C" w:rsidRPr="000D1EDC">
        <w:rPr>
          <w:color w:val="000000"/>
          <w:lang w:val="en-GB"/>
        </w:rPr>
        <w:t>at Israel and</w:t>
      </w:r>
      <w:r w:rsidR="000D2636" w:rsidRPr="000D1EDC">
        <w:rPr>
          <w:color w:val="000000"/>
          <w:lang w:val="en-GB"/>
        </w:rPr>
        <w:t xml:space="preserve"> </w:t>
      </w:r>
      <w:r w:rsidR="0065622D" w:rsidRPr="000D1EDC">
        <w:rPr>
          <w:color w:val="000000"/>
          <w:lang w:val="en-GB"/>
        </w:rPr>
        <w:t xml:space="preserve">more </w:t>
      </w:r>
      <w:r w:rsidR="0032687C" w:rsidRPr="000D1EDC">
        <w:rPr>
          <w:color w:val="000000"/>
          <w:lang w:val="en-GB"/>
        </w:rPr>
        <w:t xml:space="preserve">Israeli </w:t>
      </w:r>
      <w:r w:rsidR="00E20124" w:rsidRPr="000D1EDC">
        <w:rPr>
          <w:color w:val="000000"/>
        </w:rPr>
        <w:t>airstrikes</w:t>
      </w:r>
      <w:r w:rsidR="00E20124" w:rsidRPr="000D1EDC">
        <w:rPr>
          <w:color w:val="000000"/>
          <w:lang w:val="en-GB"/>
        </w:rPr>
        <w:t xml:space="preserve"> o</w:t>
      </w:r>
      <w:r w:rsidR="0032687C" w:rsidRPr="000D1EDC">
        <w:rPr>
          <w:color w:val="000000"/>
          <w:lang w:val="en-GB"/>
        </w:rPr>
        <w:t xml:space="preserve">n the Gaza Strip. </w:t>
      </w:r>
      <w:r w:rsidR="00686428" w:rsidRPr="000D1EDC">
        <w:rPr>
          <w:color w:val="000000"/>
        </w:rPr>
        <w:t xml:space="preserve">The targeting of civilians and the indiscriminate firing of rockets towards Israel is </w:t>
      </w:r>
      <w:r w:rsidR="00686428" w:rsidRPr="000D1EDC">
        <w:rPr>
          <w:color w:val="000000"/>
          <w:lang w:val="en-GB"/>
        </w:rPr>
        <w:t xml:space="preserve">in violation of international law. </w:t>
      </w:r>
      <w:r w:rsidR="004801AF">
        <w:rPr>
          <w:color w:val="000000"/>
          <w:lang w:val="en-GB"/>
        </w:rPr>
        <w:t xml:space="preserve"> The response through air strikes by Israel is excessive and often causes destruction to personal and public property.</w:t>
      </w:r>
    </w:p>
    <w:p w14:paraId="2392F9B3" w14:textId="77777777" w:rsidR="004575BF" w:rsidRPr="000D1EDC" w:rsidRDefault="004575BF" w:rsidP="000D1EDC">
      <w:pPr>
        <w:autoSpaceDE w:val="0"/>
        <w:autoSpaceDN w:val="0"/>
        <w:adjustRightInd w:val="0"/>
        <w:ind w:firstLine="720"/>
        <w:rPr>
          <w:color w:val="000000"/>
          <w:lang w:val="en-GB"/>
        </w:rPr>
      </w:pPr>
      <w:r w:rsidRPr="000D1EDC">
        <w:rPr>
          <w:color w:val="000000"/>
          <w:lang w:val="en-GB"/>
        </w:rPr>
        <w:t xml:space="preserve"> </w:t>
      </w:r>
    </w:p>
    <w:p w14:paraId="2392F9B4" w14:textId="77777777" w:rsidR="0027244A" w:rsidRPr="000D1EDC" w:rsidRDefault="0032687C" w:rsidP="000D1EDC">
      <w:pPr>
        <w:autoSpaceDE w:val="0"/>
        <w:autoSpaceDN w:val="0"/>
        <w:adjustRightInd w:val="0"/>
        <w:ind w:firstLine="720"/>
        <w:rPr>
          <w:color w:val="000000"/>
          <w:lang w:val="en-GB"/>
        </w:rPr>
      </w:pPr>
      <w:r w:rsidRPr="000D1EDC">
        <w:rPr>
          <w:color w:val="000000"/>
          <w:lang w:val="en-GB"/>
        </w:rPr>
        <w:t xml:space="preserve">At the same time, </w:t>
      </w:r>
      <w:r w:rsidR="001151CC" w:rsidRPr="000D1EDC">
        <w:rPr>
          <w:color w:val="000000"/>
          <w:lang w:val="en-GB"/>
        </w:rPr>
        <w:t xml:space="preserve">I am concerned that </w:t>
      </w:r>
      <w:r w:rsidRPr="000D1EDC">
        <w:rPr>
          <w:color w:val="000000"/>
        </w:rPr>
        <w:t xml:space="preserve">Israel’s blockade of Gaza, coupled with the recent destruction of </w:t>
      </w:r>
      <w:r w:rsidR="00B3720B" w:rsidRPr="000D1EDC">
        <w:rPr>
          <w:color w:val="000000"/>
        </w:rPr>
        <w:t xml:space="preserve">most </w:t>
      </w:r>
      <w:r w:rsidR="008545F9" w:rsidRPr="000D1EDC">
        <w:rPr>
          <w:color w:val="000000"/>
        </w:rPr>
        <w:t xml:space="preserve">of </w:t>
      </w:r>
      <w:r w:rsidRPr="000D1EDC">
        <w:rPr>
          <w:color w:val="000000"/>
        </w:rPr>
        <w:t xml:space="preserve">the tunnel network with Egypt, </w:t>
      </w:r>
      <w:r w:rsidR="001151CC" w:rsidRPr="000D1EDC">
        <w:rPr>
          <w:color w:val="000000"/>
        </w:rPr>
        <w:t xml:space="preserve">has </w:t>
      </w:r>
      <w:r w:rsidRPr="000D1EDC">
        <w:rPr>
          <w:color w:val="000000"/>
        </w:rPr>
        <w:t xml:space="preserve">led to a </w:t>
      </w:r>
      <w:r w:rsidR="004575BF" w:rsidRPr="000D1EDC">
        <w:rPr>
          <w:color w:val="000000"/>
        </w:rPr>
        <w:t xml:space="preserve">significant </w:t>
      </w:r>
      <w:r w:rsidRPr="000D1EDC">
        <w:rPr>
          <w:color w:val="000000"/>
        </w:rPr>
        <w:t xml:space="preserve">deterioration of </w:t>
      </w:r>
      <w:r w:rsidRPr="000D1EDC">
        <w:rPr>
          <w:color w:val="000000"/>
          <w:lang w:val="en-GB"/>
        </w:rPr>
        <w:t xml:space="preserve">economic </w:t>
      </w:r>
      <w:r w:rsidR="0065622D" w:rsidRPr="000D1EDC">
        <w:rPr>
          <w:color w:val="000000"/>
          <w:lang w:val="en-GB"/>
        </w:rPr>
        <w:t>and social rights</w:t>
      </w:r>
      <w:r w:rsidRPr="000D1EDC">
        <w:rPr>
          <w:color w:val="000000"/>
          <w:lang w:val="en-GB"/>
        </w:rPr>
        <w:t xml:space="preserve"> in Gaza.</w:t>
      </w:r>
      <w:r w:rsidR="001151CC" w:rsidRPr="000D1EDC">
        <w:rPr>
          <w:color w:val="000000"/>
          <w:lang w:val="en-GB"/>
        </w:rPr>
        <w:t xml:space="preserve"> </w:t>
      </w:r>
      <w:r w:rsidR="004575BF" w:rsidRPr="000D1EDC">
        <w:rPr>
          <w:color w:val="000000"/>
          <w:lang w:val="en-GB"/>
        </w:rPr>
        <w:t xml:space="preserve">This closure regime is effectively penalizing the civilian population and has </w:t>
      </w:r>
      <w:r w:rsidR="00E57AC1" w:rsidRPr="000D1EDC">
        <w:rPr>
          <w:color w:val="000000"/>
          <w:lang w:val="en-GB"/>
        </w:rPr>
        <w:t xml:space="preserve">far-reaching effects </w:t>
      </w:r>
      <w:r w:rsidR="004575BF" w:rsidRPr="000D1EDC">
        <w:rPr>
          <w:color w:val="000000"/>
          <w:lang w:val="en-GB"/>
        </w:rPr>
        <w:t xml:space="preserve">on </w:t>
      </w:r>
      <w:r w:rsidR="00E57AC1" w:rsidRPr="000D1EDC">
        <w:rPr>
          <w:color w:val="000000"/>
          <w:lang w:val="en-GB"/>
        </w:rPr>
        <w:t xml:space="preserve">the enjoyment of </w:t>
      </w:r>
      <w:r w:rsidR="004575BF" w:rsidRPr="000D1EDC">
        <w:rPr>
          <w:color w:val="000000"/>
          <w:lang w:val="en-GB"/>
        </w:rPr>
        <w:t xml:space="preserve">their human rights. </w:t>
      </w:r>
      <w:r w:rsidR="001376D9" w:rsidRPr="000D1EDC">
        <w:rPr>
          <w:color w:val="000000"/>
          <w:lang w:val="en-GB"/>
        </w:rPr>
        <w:t>I reiterate my</w:t>
      </w:r>
      <w:r w:rsidR="00B3720B" w:rsidRPr="000D1EDC">
        <w:rPr>
          <w:color w:val="000000"/>
          <w:lang w:val="en-GB"/>
        </w:rPr>
        <w:t xml:space="preserve"> position </w:t>
      </w:r>
      <w:r w:rsidR="001376D9" w:rsidRPr="000D1EDC">
        <w:rPr>
          <w:color w:val="000000"/>
          <w:lang w:val="en-GB"/>
        </w:rPr>
        <w:t>that t</w:t>
      </w:r>
      <w:r w:rsidR="00B3720B" w:rsidRPr="000D1EDC">
        <w:rPr>
          <w:color w:val="000000"/>
          <w:lang w:val="en-GB"/>
        </w:rPr>
        <w:t xml:space="preserve">he blockade of Gaza must </w:t>
      </w:r>
      <w:r w:rsidR="00E57AC1" w:rsidRPr="000D1EDC">
        <w:rPr>
          <w:color w:val="000000"/>
          <w:lang w:val="en-GB"/>
        </w:rPr>
        <w:t>-</w:t>
      </w:r>
      <w:r w:rsidR="004575BF" w:rsidRPr="000D1EDC">
        <w:rPr>
          <w:color w:val="000000"/>
          <w:lang w:val="en-GB"/>
        </w:rPr>
        <w:t xml:space="preserve"> and can - </w:t>
      </w:r>
      <w:r w:rsidR="00B3720B" w:rsidRPr="000D1EDC">
        <w:rPr>
          <w:color w:val="000000"/>
          <w:lang w:val="en-GB"/>
        </w:rPr>
        <w:t>be lifted</w:t>
      </w:r>
      <w:r w:rsidR="001376D9" w:rsidRPr="000D1EDC">
        <w:rPr>
          <w:color w:val="000000"/>
          <w:lang w:val="en-GB"/>
        </w:rPr>
        <w:t>,</w:t>
      </w:r>
      <w:r w:rsidR="00B3720B" w:rsidRPr="000D1EDC">
        <w:rPr>
          <w:color w:val="000000"/>
          <w:lang w:val="en-GB"/>
        </w:rPr>
        <w:t xml:space="preserve"> with due regard to Israeli security concerns. </w:t>
      </w:r>
    </w:p>
    <w:p w14:paraId="2392F9B5" w14:textId="77777777" w:rsidR="00B71895" w:rsidRPr="000D1EDC" w:rsidRDefault="00B71895" w:rsidP="000D1EDC">
      <w:pPr>
        <w:autoSpaceDE w:val="0"/>
        <w:autoSpaceDN w:val="0"/>
        <w:adjustRightInd w:val="0"/>
        <w:ind w:firstLine="720"/>
        <w:rPr>
          <w:color w:val="000000"/>
          <w:lang w:val="en-GB"/>
        </w:rPr>
      </w:pPr>
    </w:p>
    <w:p w14:paraId="2392F9B6" w14:textId="77777777" w:rsidR="00482211" w:rsidRPr="000D1EDC" w:rsidRDefault="00482211" w:rsidP="000D1EDC">
      <w:pPr>
        <w:autoSpaceDE w:val="0"/>
        <w:autoSpaceDN w:val="0"/>
        <w:adjustRightInd w:val="0"/>
        <w:ind w:firstLine="720"/>
        <w:rPr>
          <w:color w:val="000000"/>
          <w:lang w:val="en-GB"/>
        </w:rPr>
      </w:pPr>
      <w:r w:rsidRPr="000D1EDC">
        <w:rPr>
          <w:color w:val="000000"/>
          <w:lang w:val="en-GB"/>
        </w:rPr>
        <w:t>Another issue that I have consistently r</w:t>
      </w:r>
      <w:r w:rsidR="00193C79">
        <w:rPr>
          <w:color w:val="000000"/>
          <w:lang w:val="en-GB"/>
        </w:rPr>
        <w:t>aised is that of</w:t>
      </w:r>
      <w:r w:rsidR="00422463" w:rsidRPr="000D1EDC">
        <w:rPr>
          <w:color w:val="000000"/>
          <w:lang w:val="en-GB"/>
        </w:rPr>
        <w:t xml:space="preserve"> lack of </w:t>
      </w:r>
      <w:r w:rsidR="00C57C79" w:rsidRPr="000D1EDC">
        <w:rPr>
          <w:color w:val="000000"/>
          <w:lang w:val="en-GB"/>
        </w:rPr>
        <w:t>accountability</w:t>
      </w:r>
      <w:r w:rsidRPr="000D1EDC">
        <w:rPr>
          <w:color w:val="000000"/>
          <w:lang w:val="en-GB"/>
        </w:rPr>
        <w:t xml:space="preserve">. There is an urgent need to carry out prompt, thorough, effective, independent and impartial investigations into allegations of unlawful killing or injury and torture and ill-treatment, and to prosecute individuals responsible for violations and provide victims with an effective remedy. </w:t>
      </w:r>
      <w:r w:rsidR="000D2636" w:rsidRPr="000D1EDC">
        <w:rPr>
          <w:color w:val="000000"/>
          <w:lang w:val="en-GB"/>
        </w:rPr>
        <w:t xml:space="preserve">This is particularly pertinent given that my Office in </w:t>
      </w:r>
      <w:r w:rsidR="00317F81" w:rsidRPr="000D1EDC">
        <w:rPr>
          <w:color w:val="000000"/>
          <w:lang w:val="en-GB"/>
        </w:rPr>
        <w:t xml:space="preserve">the State of </w:t>
      </w:r>
      <w:r w:rsidR="000D2636" w:rsidRPr="000D1EDC">
        <w:rPr>
          <w:color w:val="000000"/>
          <w:lang w:val="en-GB"/>
        </w:rPr>
        <w:t>Palestine has documented a dramatic increase in fatalities</w:t>
      </w:r>
      <w:r w:rsidR="0012720F" w:rsidRPr="000D1EDC">
        <w:rPr>
          <w:color w:val="000000"/>
          <w:lang w:val="en-GB"/>
        </w:rPr>
        <w:t xml:space="preserve"> and injuries</w:t>
      </w:r>
      <w:r w:rsidR="000D2636" w:rsidRPr="000D1EDC">
        <w:rPr>
          <w:color w:val="000000"/>
          <w:lang w:val="en-GB"/>
        </w:rPr>
        <w:t xml:space="preserve"> in incidents of use of force by Israeli security forces in the West Bank in 2013. </w:t>
      </w:r>
      <w:r w:rsidR="00D55136" w:rsidRPr="000D1EDC">
        <w:rPr>
          <w:color w:val="000000"/>
          <w:lang w:val="en-GB"/>
        </w:rPr>
        <w:t>I</w:t>
      </w:r>
      <w:r w:rsidR="008545F9" w:rsidRPr="000D1EDC">
        <w:rPr>
          <w:color w:val="000000"/>
          <w:lang w:val="en-GB"/>
        </w:rPr>
        <w:t>n this regard, I</w:t>
      </w:r>
      <w:r w:rsidR="00D55136" w:rsidRPr="000D1EDC">
        <w:rPr>
          <w:color w:val="000000"/>
          <w:lang w:val="en-GB"/>
        </w:rPr>
        <w:t xml:space="preserve"> reiterate </w:t>
      </w:r>
      <w:r w:rsidR="001151CC" w:rsidRPr="000D1EDC">
        <w:rPr>
          <w:color w:val="000000"/>
          <w:lang w:val="en-GB"/>
        </w:rPr>
        <w:t xml:space="preserve">my call for implementation of the </w:t>
      </w:r>
      <w:r w:rsidRPr="000D1EDC">
        <w:rPr>
          <w:color w:val="000000"/>
          <w:lang w:val="en-GB"/>
        </w:rPr>
        <w:t xml:space="preserve">recommendations regarding accountability for violations of international law made by </w:t>
      </w:r>
      <w:r w:rsidR="00B02DB7" w:rsidRPr="000D1EDC">
        <w:rPr>
          <w:color w:val="000000"/>
          <w:lang w:val="en-GB"/>
        </w:rPr>
        <w:t xml:space="preserve">the Turkel Commission. </w:t>
      </w:r>
      <w:r w:rsidR="001151CC" w:rsidRPr="000D1EDC">
        <w:rPr>
          <w:color w:val="000000"/>
          <w:lang w:val="en-GB"/>
        </w:rPr>
        <w:t>I urge the Government of Israel to take concrete steps and measures in this regard without delay.</w:t>
      </w:r>
    </w:p>
    <w:p w14:paraId="2392F9B7" w14:textId="77777777" w:rsidR="00A028EB" w:rsidRPr="000D1EDC" w:rsidRDefault="00A028EB" w:rsidP="000D1EDC">
      <w:pPr>
        <w:autoSpaceDE w:val="0"/>
        <w:autoSpaceDN w:val="0"/>
        <w:adjustRightInd w:val="0"/>
        <w:ind w:firstLine="720"/>
        <w:rPr>
          <w:color w:val="000000"/>
          <w:lang w:val="en-GB"/>
        </w:rPr>
      </w:pPr>
    </w:p>
    <w:p w14:paraId="2392F9B8" w14:textId="77777777" w:rsidR="00422463" w:rsidRPr="000D1EDC" w:rsidRDefault="00422463" w:rsidP="000D1EDC">
      <w:pPr>
        <w:autoSpaceDE w:val="0"/>
        <w:autoSpaceDN w:val="0"/>
        <w:adjustRightInd w:val="0"/>
        <w:ind w:firstLine="720"/>
        <w:rPr>
          <w:color w:val="000000"/>
          <w:lang w:val="en-GB"/>
        </w:rPr>
      </w:pPr>
      <w:r w:rsidRPr="000D1EDC">
        <w:rPr>
          <w:color w:val="000000"/>
          <w:lang w:val="en-GB"/>
        </w:rPr>
        <w:t>The absence of accountability is also an issue which Palestinian leaders need to address</w:t>
      </w:r>
      <w:r w:rsidR="00193C79" w:rsidRPr="00193C79">
        <w:rPr>
          <w:color w:val="000000"/>
          <w:lang w:val="en-GB"/>
        </w:rPr>
        <w:t xml:space="preserve"> </w:t>
      </w:r>
      <w:r w:rsidR="00193C79" w:rsidRPr="000D1EDC">
        <w:rPr>
          <w:color w:val="000000"/>
          <w:lang w:val="en-GB"/>
        </w:rPr>
        <w:t>urgently</w:t>
      </w:r>
      <w:r w:rsidRPr="000D1EDC">
        <w:rPr>
          <w:color w:val="000000"/>
          <w:lang w:val="en-GB"/>
        </w:rPr>
        <w:t>. The lack of effective and transparent investigation</w:t>
      </w:r>
      <w:r w:rsidR="00C7218F" w:rsidRPr="000D1EDC">
        <w:rPr>
          <w:color w:val="000000"/>
          <w:lang w:val="en-GB"/>
        </w:rPr>
        <w:t>s, particularly</w:t>
      </w:r>
      <w:r w:rsidRPr="000D1EDC">
        <w:rPr>
          <w:color w:val="000000"/>
          <w:lang w:val="en-GB"/>
        </w:rPr>
        <w:t xml:space="preserve"> into cases of torture and ill-treatment involving the Palestinian security forces</w:t>
      </w:r>
      <w:r w:rsidR="00C7218F" w:rsidRPr="000D1EDC">
        <w:rPr>
          <w:color w:val="000000"/>
          <w:lang w:val="en-GB"/>
        </w:rPr>
        <w:t>,</w:t>
      </w:r>
      <w:r w:rsidRPr="000D1EDC">
        <w:rPr>
          <w:color w:val="000000"/>
          <w:lang w:val="en-GB"/>
        </w:rPr>
        <w:t xml:space="preserve"> is of serious concern. </w:t>
      </w:r>
      <w:r w:rsidR="006454C6" w:rsidRPr="000D1EDC">
        <w:rPr>
          <w:color w:val="000000"/>
          <w:lang w:val="en-GB"/>
        </w:rPr>
        <w:t xml:space="preserve">Arbitrary detention and ill-treatment, </w:t>
      </w:r>
      <w:r w:rsidR="00D6066A" w:rsidRPr="000D1EDC">
        <w:rPr>
          <w:color w:val="000000"/>
          <w:lang w:val="en-GB"/>
        </w:rPr>
        <w:t>notably</w:t>
      </w:r>
      <w:r w:rsidR="006454C6" w:rsidRPr="000D1EDC">
        <w:rPr>
          <w:color w:val="000000"/>
          <w:lang w:val="en-GB"/>
        </w:rPr>
        <w:t xml:space="preserve"> of persons suspected of affiliation with the opposing faction, remain an ongoing </w:t>
      </w:r>
      <w:r w:rsidR="00EA76CA" w:rsidRPr="000D1EDC">
        <w:rPr>
          <w:color w:val="000000"/>
          <w:lang w:val="en-GB"/>
        </w:rPr>
        <w:t xml:space="preserve">problem </w:t>
      </w:r>
      <w:r w:rsidR="006454C6" w:rsidRPr="000D1EDC">
        <w:rPr>
          <w:color w:val="000000"/>
          <w:lang w:val="en-GB"/>
        </w:rPr>
        <w:t xml:space="preserve">with regard to </w:t>
      </w:r>
      <w:r w:rsidR="00956F44" w:rsidRPr="000D1EDC">
        <w:rPr>
          <w:color w:val="000000"/>
          <w:lang w:val="en-GB"/>
        </w:rPr>
        <w:t>the Palestinian Authority and the de facto authorities in Gaza</w:t>
      </w:r>
      <w:r w:rsidR="006454C6" w:rsidRPr="000D1EDC">
        <w:rPr>
          <w:color w:val="000000"/>
          <w:lang w:val="en-GB"/>
        </w:rPr>
        <w:t>.</w:t>
      </w:r>
    </w:p>
    <w:p w14:paraId="2392F9B9" w14:textId="77777777" w:rsidR="004A5ACD" w:rsidRPr="000D1EDC" w:rsidRDefault="004A5ACD" w:rsidP="000D1EDC">
      <w:pPr>
        <w:rPr>
          <w:color w:val="000000"/>
          <w:lang w:val="en-GB"/>
        </w:rPr>
      </w:pPr>
    </w:p>
    <w:p w14:paraId="2392F9BA" w14:textId="77777777" w:rsidR="00BD5C16" w:rsidRPr="000D1EDC" w:rsidRDefault="00BD5C16" w:rsidP="000D1EDC">
      <w:r w:rsidRPr="000D1EDC">
        <w:t xml:space="preserve">Excellencies, </w:t>
      </w:r>
    </w:p>
    <w:p w14:paraId="2392F9BB" w14:textId="77777777" w:rsidR="00CE03C6" w:rsidRPr="000D1EDC" w:rsidRDefault="00CE03C6" w:rsidP="000D1EDC">
      <w:pPr>
        <w:rPr>
          <w:rFonts w:cs="Courier"/>
          <w:lang w:eastAsia="en-GB"/>
        </w:rPr>
      </w:pPr>
    </w:p>
    <w:p w14:paraId="2392F9BC" w14:textId="77777777" w:rsidR="007B43A7" w:rsidRPr="000D1EDC" w:rsidRDefault="007B43A7" w:rsidP="000D1EDC">
      <w:pPr>
        <w:ind w:firstLine="720"/>
      </w:pPr>
      <w:r w:rsidRPr="000D1EDC">
        <w:t xml:space="preserve">I conclude on a positive note, welcoming the </w:t>
      </w:r>
      <w:r w:rsidR="0039605B" w:rsidRPr="000D1EDC">
        <w:t xml:space="preserve">good cooperation that my Office enjoys with the Government of the State of Palestine. </w:t>
      </w:r>
      <w:r w:rsidRPr="000D1EDC">
        <w:rPr>
          <w:lang w:val="en-GB"/>
        </w:rPr>
        <w:t xml:space="preserve">An example </w:t>
      </w:r>
      <w:r w:rsidR="0039605B" w:rsidRPr="000D1EDC">
        <w:rPr>
          <w:lang w:val="en-GB"/>
        </w:rPr>
        <w:t xml:space="preserve">of this cooperation </w:t>
      </w:r>
      <w:r w:rsidRPr="000D1EDC">
        <w:rPr>
          <w:lang w:val="en-GB"/>
        </w:rPr>
        <w:t xml:space="preserve">is the collaborative work on the recently endorsed </w:t>
      </w:r>
      <w:r w:rsidRPr="000D1EDC">
        <w:rPr>
          <w:i/>
          <w:lang w:val="en-GB"/>
        </w:rPr>
        <w:t>Guidance Document on Integrating Human Rights into Palestinian National Development Plans</w:t>
      </w:r>
      <w:r w:rsidRPr="000D1EDC">
        <w:rPr>
          <w:lang w:val="en-GB"/>
        </w:rPr>
        <w:t>. In January, a significant milestone was reached together with the</w:t>
      </w:r>
      <w:r w:rsidR="00CE727F" w:rsidRPr="000D1EDC">
        <w:rPr>
          <w:lang w:val="en-GB"/>
        </w:rPr>
        <w:t xml:space="preserve"> Palestinian Government when this</w:t>
      </w:r>
      <w:r w:rsidRPr="000D1EDC">
        <w:rPr>
          <w:lang w:val="en-GB"/>
        </w:rPr>
        <w:t xml:space="preserve"> Guidance Document was </w:t>
      </w:r>
      <w:r w:rsidR="00045BA7" w:rsidRPr="000D1EDC">
        <w:rPr>
          <w:lang w:val="en-GB"/>
        </w:rPr>
        <w:t xml:space="preserve">formally </w:t>
      </w:r>
      <w:r w:rsidRPr="000D1EDC">
        <w:rPr>
          <w:lang w:val="en-GB"/>
        </w:rPr>
        <w:t>endorsed. Th</w:t>
      </w:r>
      <w:r w:rsidR="00CE727F" w:rsidRPr="000D1EDC">
        <w:rPr>
          <w:lang w:val="en-GB"/>
        </w:rPr>
        <w:t xml:space="preserve">is paves the way for the </w:t>
      </w:r>
      <w:r w:rsidRPr="000D1EDC">
        <w:rPr>
          <w:lang w:val="en-GB"/>
        </w:rPr>
        <w:t xml:space="preserve">integration </w:t>
      </w:r>
      <w:r w:rsidR="00CE727F" w:rsidRPr="000D1EDC">
        <w:rPr>
          <w:lang w:val="en-GB"/>
        </w:rPr>
        <w:t xml:space="preserve">of </w:t>
      </w:r>
      <w:r w:rsidR="00B3720B" w:rsidRPr="000D1EDC">
        <w:rPr>
          <w:lang w:val="en-GB"/>
        </w:rPr>
        <w:t xml:space="preserve">specific and measurable </w:t>
      </w:r>
      <w:r w:rsidR="00CE727F" w:rsidRPr="000D1EDC">
        <w:rPr>
          <w:lang w:val="en-GB"/>
        </w:rPr>
        <w:t xml:space="preserve">human rights targets </w:t>
      </w:r>
      <w:r w:rsidRPr="000D1EDC">
        <w:rPr>
          <w:lang w:val="en-GB"/>
        </w:rPr>
        <w:t>into the</w:t>
      </w:r>
      <w:r w:rsidR="00CE727F" w:rsidRPr="000D1EDC">
        <w:rPr>
          <w:lang w:val="en-GB"/>
        </w:rPr>
        <w:t xml:space="preserve"> current and future </w:t>
      </w:r>
      <w:r w:rsidRPr="000D1EDC">
        <w:rPr>
          <w:lang w:val="en-GB"/>
        </w:rPr>
        <w:t>Palestinian National Development Plan</w:t>
      </w:r>
      <w:r w:rsidR="00CE727F" w:rsidRPr="000D1EDC">
        <w:rPr>
          <w:lang w:val="en-GB"/>
        </w:rPr>
        <w:t>s</w:t>
      </w:r>
      <w:r w:rsidR="0039605B" w:rsidRPr="000D1EDC">
        <w:rPr>
          <w:lang w:val="en-GB"/>
        </w:rPr>
        <w:t xml:space="preserve">. </w:t>
      </w:r>
    </w:p>
    <w:p w14:paraId="2392F9BD" w14:textId="77777777" w:rsidR="007B43A7" w:rsidRPr="000D1EDC" w:rsidRDefault="007B43A7" w:rsidP="000D1EDC">
      <w:pPr>
        <w:ind w:firstLine="720"/>
      </w:pPr>
    </w:p>
    <w:p w14:paraId="2392F9BE" w14:textId="77777777" w:rsidR="00E02015" w:rsidRPr="000D1EDC" w:rsidRDefault="0039605B" w:rsidP="000D1EDC">
      <w:pPr>
        <w:ind w:firstLine="720"/>
      </w:pPr>
      <w:r w:rsidRPr="000D1EDC">
        <w:t xml:space="preserve">I am also pleased to report that, following suspension of </w:t>
      </w:r>
      <w:r w:rsidR="00B3720B" w:rsidRPr="000D1EDC">
        <w:t xml:space="preserve">contacts </w:t>
      </w:r>
      <w:r w:rsidR="000944B1">
        <w:t>in March </w:t>
      </w:r>
      <w:r w:rsidR="005C187C" w:rsidRPr="000D1EDC">
        <w:t xml:space="preserve">2012 </w:t>
      </w:r>
      <w:r w:rsidRPr="000D1EDC">
        <w:t xml:space="preserve">by </w:t>
      </w:r>
      <w:r w:rsidR="005C187C" w:rsidRPr="000D1EDC">
        <w:t xml:space="preserve">the Government of Israel with the Human Rights Council and with OHCHR, Israel revised its position on 29 October 2013, when it participated in the second review of Israel under the </w:t>
      </w:r>
      <w:r w:rsidR="0012720F" w:rsidRPr="000D1EDC">
        <w:t>U</w:t>
      </w:r>
      <w:r w:rsidR="005C187C" w:rsidRPr="000D1EDC">
        <w:t xml:space="preserve">niversal </w:t>
      </w:r>
      <w:r w:rsidR="0012720F" w:rsidRPr="000D1EDC">
        <w:t>P</w:t>
      </w:r>
      <w:r w:rsidR="005C187C" w:rsidRPr="000D1EDC">
        <w:t xml:space="preserve">eriodic </w:t>
      </w:r>
      <w:r w:rsidR="0012720F" w:rsidRPr="000D1EDC">
        <w:t>R</w:t>
      </w:r>
      <w:r w:rsidR="005C187C" w:rsidRPr="000D1EDC">
        <w:t>eview</w:t>
      </w:r>
      <w:r w:rsidR="0012720F" w:rsidRPr="000D1EDC">
        <w:t xml:space="preserve"> (UPR)</w:t>
      </w:r>
      <w:r w:rsidR="005C187C" w:rsidRPr="000D1EDC">
        <w:t xml:space="preserve">. </w:t>
      </w:r>
      <w:r w:rsidR="00C57C79" w:rsidRPr="000D1EDC">
        <w:t xml:space="preserve">Subsequently, the Government of Israel has confirmed that it has </w:t>
      </w:r>
      <w:r w:rsidR="005C187C" w:rsidRPr="000D1EDC">
        <w:t>re-establish</w:t>
      </w:r>
      <w:r w:rsidR="00C57C79" w:rsidRPr="000D1EDC">
        <w:t xml:space="preserve">ed </w:t>
      </w:r>
      <w:r w:rsidR="005C187C" w:rsidRPr="000D1EDC">
        <w:t xml:space="preserve">relations with </w:t>
      </w:r>
      <w:r w:rsidR="00C57C79" w:rsidRPr="000D1EDC">
        <w:t>the Council and with OHCHR</w:t>
      </w:r>
      <w:r w:rsidR="005C187C" w:rsidRPr="000D1EDC">
        <w:t>.</w:t>
      </w:r>
      <w:r w:rsidR="00C57C79" w:rsidRPr="000D1EDC">
        <w:t xml:space="preserve"> My Office</w:t>
      </w:r>
      <w:r w:rsidR="00B3720B" w:rsidRPr="000D1EDC">
        <w:t xml:space="preserve">, </w:t>
      </w:r>
      <w:r w:rsidR="00C7218F" w:rsidRPr="000D1EDC">
        <w:t>in</w:t>
      </w:r>
      <w:r w:rsidR="00B3720B" w:rsidRPr="000D1EDC">
        <w:t xml:space="preserve"> the field and </w:t>
      </w:r>
      <w:r w:rsidR="00C7218F" w:rsidRPr="000D1EDC">
        <w:t xml:space="preserve">at </w:t>
      </w:r>
      <w:r w:rsidR="00B3720B" w:rsidRPr="000D1EDC">
        <w:t xml:space="preserve">headquarters, remain </w:t>
      </w:r>
      <w:r w:rsidR="00C57C79" w:rsidRPr="000D1EDC">
        <w:t>committed to constructively engage with Israel on human rights issues</w:t>
      </w:r>
      <w:r w:rsidR="00CE727F" w:rsidRPr="000D1EDC">
        <w:t>, including on implementation of the UPR recommendations</w:t>
      </w:r>
      <w:r w:rsidR="00C57C79" w:rsidRPr="000D1EDC">
        <w:t xml:space="preserve">. </w:t>
      </w:r>
      <w:r w:rsidR="005C187C" w:rsidRPr="000D1EDC">
        <w:t xml:space="preserve"> </w:t>
      </w:r>
    </w:p>
    <w:p w14:paraId="2392F9BF" w14:textId="77777777" w:rsidR="00AE1CCC" w:rsidRPr="000D1EDC" w:rsidRDefault="00AE1CCC" w:rsidP="000D1EDC"/>
    <w:p w14:paraId="2392F9C0" w14:textId="77777777" w:rsidR="00AE1CCC" w:rsidRPr="000D1EDC" w:rsidRDefault="00AE1CCC" w:rsidP="000944B1">
      <w:pPr>
        <w:ind w:firstLine="720"/>
      </w:pPr>
      <w:r w:rsidRPr="000D1EDC">
        <w:t>Thank you.</w:t>
      </w:r>
    </w:p>
    <w:p w14:paraId="2392F9C1" w14:textId="77777777" w:rsidR="000D1EDC" w:rsidRPr="000D1EDC" w:rsidRDefault="000D1EDC"/>
    <w:sectPr w:rsidR="000D1EDC" w:rsidRPr="000D1EDC" w:rsidSect="001A4086">
      <w:footerReference w:type="default" r:id="rId12"/>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F9C6" w14:textId="77777777" w:rsidR="00712579" w:rsidRDefault="00712579" w:rsidP="00935FA1">
      <w:r>
        <w:separator/>
      </w:r>
    </w:p>
  </w:endnote>
  <w:endnote w:type="continuationSeparator" w:id="0">
    <w:p w14:paraId="2392F9C7" w14:textId="77777777" w:rsidR="00712579" w:rsidRDefault="00712579" w:rsidP="0093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50041"/>
      <w:docPartObj>
        <w:docPartGallery w:val="Page Numbers (Bottom of Page)"/>
        <w:docPartUnique/>
      </w:docPartObj>
    </w:sdtPr>
    <w:sdtEndPr>
      <w:rPr>
        <w:noProof/>
      </w:rPr>
    </w:sdtEndPr>
    <w:sdtContent>
      <w:p w14:paraId="2392F9C8" w14:textId="77777777" w:rsidR="00D83828" w:rsidRDefault="00D83828">
        <w:pPr>
          <w:pStyle w:val="Footer"/>
          <w:jc w:val="right"/>
        </w:pPr>
        <w:r>
          <w:fldChar w:fldCharType="begin"/>
        </w:r>
        <w:r>
          <w:instrText xml:space="preserve"> PAGE   \* MERGEFORMAT </w:instrText>
        </w:r>
        <w:r>
          <w:fldChar w:fldCharType="separate"/>
        </w:r>
        <w:r w:rsidR="00615B26">
          <w:rPr>
            <w:noProof/>
          </w:rPr>
          <w:t>3</w:t>
        </w:r>
        <w:r>
          <w:rPr>
            <w:noProof/>
          </w:rPr>
          <w:fldChar w:fldCharType="end"/>
        </w:r>
      </w:p>
    </w:sdtContent>
  </w:sdt>
  <w:p w14:paraId="2392F9C9" w14:textId="77777777" w:rsidR="00D83828" w:rsidRDefault="00D83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2F9C4" w14:textId="77777777" w:rsidR="00712579" w:rsidRDefault="00712579" w:rsidP="00935FA1">
      <w:r>
        <w:separator/>
      </w:r>
    </w:p>
  </w:footnote>
  <w:footnote w:type="continuationSeparator" w:id="0">
    <w:p w14:paraId="2392F9C5" w14:textId="77777777" w:rsidR="00712579" w:rsidRDefault="00712579" w:rsidP="00935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4DF0AD"/>
    <w:multiLevelType w:val="hybridMultilevel"/>
    <w:tmpl w:val="8A57CB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C9A1567"/>
    <w:multiLevelType w:val="hybridMultilevel"/>
    <w:tmpl w:val="9CE0D246"/>
    <w:lvl w:ilvl="0" w:tplc="0409000F">
      <w:start w:val="1"/>
      <w:numFmt w:val="decimal"/>
      <w:lvlText w:val="%1."/>
      <w:lvlJc w:val="left"/>
      <w:pPr>
        <w:tabs>
          <w:tab w:val="num" w:pos="720"/>
        </w:tabs>
        <w:ind w:left="720" w:hanging="360"/>
      </w:pPr>
      <w:rPr>
        <w:rFonts w:cs="Times New Roman" w:hint="default"/>
      </w:rPr>
    </w:lvl>
    <w:lvl w:ilvl="1" w:tplc="3E7EEE5E">
      <w:start w:val="2"/>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8F3C8A"/>
    <w:multiLevelType w:val="hybridMultilevel"/>
    <w:tmpl w:val="320205AE"/>
    <w:lvl w:ilvl="0" w:tplc="D6541686">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82F0E"/>
    <w:multiLevelType w:val="hybridMultilevel"/>
    <w:tmpl w:val="CF54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6E"/>
    <w:rsid w:val="00005CE2"/>
    <w:rsid w:val="00006E1E"/>
    <w:rsid w:val="0001099C"/>
    <w:rsid w:val="00014DA5"/>
    <w:rsid w:val="00026DC6"/>
    <w:rsid w:val="0003421C"/>
    <w:rsid w:val="00045BA7"/>
    <w:rsid w:val="0007664F"/>
    <w:rsid w:val="00076C4C"/>
    <w:rsid w:val="00077CA5"/>
    <w:rsid w:val="000944B1"/>
    <w:rsid w:val="000B2B9F"/>
    <w:rsid w:val="000D1EDC"/>
    <w:rsid w:val="000D2636"/>
    <w:rsid w:val="000D288E"/>
    <w:rsid w:val="000E0C61"/>
    <w:rsid w:val="000E43AC"/>
    <w:rsid w:val="000F1880"/>
    <w:rsid w:val="0010755F"/>
    <w:rsid w:val="001151CC"/>
    <w:rsid w:val="0012720F"/>
    <w:rsid w:val="001376D9"/>
    <w:rsid w:val="001458F4"/>
    <w:rsid w:val="00145AC5"/>
    <w:rsid w:val="00153743"/>
    <w:rsid w:val="001703FF"/>
    <w:rsid w:val="00175EC3"/>
    <w:rsid w:val="00176D6F"/>
    <w:rsid w:val="00193C79"/>
    <w:rsid w:val="00197FDC"/>
    <w:rsid w:val="001A0D13"/>
    <w:rsid w:val="001A4086"/>
    <w:rsid w:val="001A5268"/>
    <w:rsid w:val="001B4AAA"/>
    <w:rsid w:val="001C0621"/>
    <w:rsid w:val="0021223C"/>
    <w:rsid w:val="002257D4"/>
    <w:rsid w:val="002268C9"/>
    <w:rsid w:val="00234196"/>
    <w:rsid w:val="00234644"/>
    <w:rsid w:val="002405A7"/>
    <w:rsid w:val="00242FAD"/>
    <w:rsid w:val="00243074"/>
    <w:rsid w:val="002452C9"/>
    <w:rsid w:val="00254BDC"/>
    <w:rsid w:val="0026013C"/>
    <w:rsid w:val="00262576"/>
    <w:rsid w:val="002659F7"/>
    <w:rsid w:val="00266B5A"/>
    <w:rsid w:val="0027244A"/>
    <w:rsid w:val="00272969"/>
    <w:rsid w:val="00277E17"/>
    <w:rsid w:val="002A3798"/>
    <w:rsid w:val="002B28CD"/>
    <w:rsid w:val="002B699D"/>
    <w:rsid w:val="002E4504"/>
    <w:rsid w:val="002E4A08"/>
    <w:rsid w:val="002E62ED"/>
    <w:rsid w:val="002F122A"/>
    <w:rsid w:val="00305DB3"/>
    <w:rsid w:val="00314D00"/>
    <w:rsid w:val="00317F81"/>
    <w:rsid w:val="0032426D"/>
    <w:rsid w:val="0032687C"/>
    <w:rsid w:val="003436EA"/>
    <w:rsid w:val="003459DC"/>
    <w:rsid w:val="00347649"/>
    <w:rsid w:val="00360225"/>
    <w:rsid w:val="00375E9A"/>
    <w:rsid w:val="003773CC"/>
    <w:rsid w:val="00383319"/>
    <w:rsid w:val="0039605B"/>
    <w:rsid w:val="003A062D"/>
    <w:rsid w:val="003B3802"/>
    <w:rsid w:val="003C6BF3"/>
    <w:rsid w:val="003D0E19"/>
    <w:rsid w:val="003D5AFA"/>
    <w:rsid w:val="004015CE"/>
    <w:rsid w:val="00422463"/>
    <w:rsid w:val="00432E84"/>
    <w:rsid w:val="00441746"/>
    <w:rsid w:val="0044190A"/>
    <w:rsid w:val="0044394D"/>
    <w:rsid w:val="0044645A"/>
    <w:rsid w:val="00450A8A"/>
    <w:rsid w:val="004536F5"/>
    <w:rsid w:val="004575BF"/>
    <w:rsid w:val="00475BF0"/>
    <w:rsid w:val="004801AF"/>
    <w:rsid w:val="00482211"/>
    <w:rsid w:val="004A01D6"/>
    <w:rsid w:val="004A061C"/>
    <w:rsid w:val="004A5ACD"/>
    <w:rsid w:val="004C0E69"/>
    <w:rsid w:val="004D7F90"/>
    <w:rsid w:val="004E0D9D"/>
    <w:rsid w:val="004E68A9"/>
    <w:rsid w:val="004E6CA9"/>
    <w:rsid w:val="005016FC"/>
    <w:rsid w:val="00507603"/>
    <w:rsid w:val="0051222D"/>
    <w:rsid w:val="00516E6A"/>
    <w:rsid w:val="00530945"/>
    <w:rsid w:val="0053174E"/>
    <w:rsid w:val="00561316"/>
    <w:rsid w:val="00562A1B"/>
    <w:rsid w:val="00567C45"/>
    <w:rsid w:val="005744C1"/>
    <w:rsid w:val="0057703F"/>
    <w:rsid w:val="00584CC3"/>
    <w:rsid w:val="005934A5"/>
    <w:rsid w:val="005B470A"/>
    <w:rsid w:val="005C187C"/>
    <w:rsid w:val="005D30A8"/>
    <w:rsid w:val="005E3B4B"/>
    <w:rsid w:val="006127F4"/>
    <w:rsid w:val="00615B26"/>
    <w:rsid w:val="00617484"/>
    <w:rsid w:val="00617669"/>
    <w:rsid w:val="006220CA"/>
    <w:rsid w:val="00626252"/>
    <w:rsid w:val="00627856"/>
    <w:rsid w:val="00637C95"/>
    <w:rsid w:val="00642EE4"/>
    <w:rsid w:val="006454C6"/>
    <w:rsid w:val="0065622D"/>
    <w:rsid w:val="0065637A"/>
    <w:rsid w:val="00666D86"/>
    <w:rsid w:val="00686428"/>
    <w:rsid w:val="006B6D28"/>
    <w:rsid w:val="006B7A2F"/>
    <w:rsid w:val="006D6C33"/>
    <w:rsid w:val="006E3DF7"/>
    <w:rsid w:val="006E4233"/>
    <w:rsid w:val="006E5595"/>
    <w:rsid w:val="006F2DC8"/>
    <w:rsid w:val="00702744"/>
    <w:rsid w:val="007060E2"/>
    <w:rsid w:val="00712579"/>
    <w:rsid w:val="00713A03"/>
    <w:rsid w:val="0072077B"/>
    <w:rsid w:val="0072344A"/>
    <w:rsid w:val="00725939"/>
    <w:rsid w:val="007275B5"/>
    <w:rsid w:val="0074526D"/>
    <w:rsid w:val="00750B86"/>
    <w:rsid w:val="00761C13"/>
    <w:rsid w:val="0076681A"/>
    <w:rsid w:val="00782C9F"/>
    <w:rsid w:val="00785995"/>
    <w:rsid w:val="00790F8A"/>
    <w:rsid w:val="00795610"/>
    <w:rsid w:val="00797107"/>
    <w:rsid w:val="00797768"/>
    <w:rsid w:val="007B43A7"/>
    <w:rsid w:val="007C7221"/>
    <w:rsid w:val="007D4442"/>
    <w:rsid w:val="007D4E30"/>
    <w:rsid w:val="00800F15"/>
    <w:rsid w:val="00802AC5"/>
    <w:rsid w:val="008244F0"/>
    <w:rsid w:val="00834706"/>
    <w:rsid w:val="00850754"/>
    <w:rsid w:val="00852197"/>
    <w:rsid w:val="008545F9"/>
    <w:rsid w:val="00893E03"/>
    <w:rsid w:val="008A046B"/>
    <w:rsid w:val="008C2C71"/>
    <w:rsid w:val="008D058F"/>
    <w:rsid w:val="008D41C5"/>
    <w:rsid w:val="008D466F"/>
    <w:rsid w:val="008E682F"/>
    <w:rsid w:val="00935FA1"/>
    <w:rsid w:val="00936D46"/>
    <w:rsid w:val="00940416"/>
    <w:rsid w:val="0095529B"/>
    <w:rsid w:val="00956F44"/>
    <w:rsid w:val="00974041"/>
    <w:rsid w:val="00980F0C"/>
    <w:rsid w:val="00993009"/>
    <w:rsid w:val="009A13AA"/>
    <w:rsid w:val="009A2036"/>
    <w:rsid w:val="009A3401"/>
    <w:rsid w:val="009A3CCC"/>
    <w:rsid w:val="009A41BB"/>
    <w:rsid w:val="009B1A11"/>
    <w:rsid w:val="009C2801"/>
    <w:rsid w:val="009D0709"/>
    <w:rsid w:val="009D6D53"/>
    <w:rsid w:val="009E01D3"/>
    <w:rsid w:val="009F2286"/>
    <w:rsid w:val="00A00449"/>
    <w:rsid w:val="00A00EA0"/>
    <w:rsid w:val="00A028EB"/>
    <w:rsid w:val="00A02F64"/>
    <w:rsid w:val="00A040FD"/>
    <w:rsid w:val="00A07708"/>
    <w:rsid w:val="00A10EB4"/>
    <w:rsid w:val="00A17F6F"/>
    <w:rsid w:val="00A26184"/>
    <w:rsid w:val="00A537A8"/>
    <w:rsid w:val="00A557C9"/>
    <w:rsid w:val="00A62678"/>
    <w:rsid w:val="00A62E98"/>
    <w:rsid w:val="00A6376E"/>
    <w:rsid w:val="00A66A81"/>
    <w:rsid w:val="00A74066"/>
    <w:rsid w:val="00A83294"/>
    <w:rsid w:val="00AA0B85"/>
    <w:rsid w:val="00AC0CA6"/>
    <w:rsid w:val="00AC1F0D"/>
    <w:rsid w:val="00AC68C9"/>
    <w:rsid w:val="00AD6ED4"/>
    <w:rsid w:val="00AE1CCC"/>
    <w:rsid w:val="00B02DB7"/>
    <w:rsid w:val="00B02DCE"/>
    <w:rsid w:val="00B11C53"/>
    <w:rsid w:val="00B125A8"/>
    <w:rsid w:val="00B201DB"/>
    <w:rsid w:val="00B274E6"/>
    <w:rsid w:val="00B27AE5"/>
    <w:rsid w:val="00B3720B"/>
    <w:rsid w:val="00B5115B"/>
    <w:rsid w:val="00B71895"/>
    <w:rsid w:val="00B748B5"/>
    <w:rsid w:val="00BA0B19"/>
    <w:rsid w:val="00BB03AA"/>
    <w:rsid w:val="00BB6ACC"/>
    <w:rsid w:val="00BD5C16"/>
    <w:rsid w:val="00BD632F"/>
    <w:rsid w:val="00BE1BDF"/>
    <w:rsid w:val="00BF61B1"/>
    <w:rsid w:val="00C071CA"/>
    <w:rsid w:val="00C10A9B"/>
    <w:rsid w:val="00C1343F"/>
    <w:rsid w:val="00C213AE"/>
    <w:rsid w:val="00C57C79"/>
    <w:rsid w:val="00C61046"/>
    <w:rsid w:val="00C7218F"/>
    <w:rsid w:val="00C74DEC"/>
    <w:rsid w:val="00C82FDD"/>
    <w:rsid w:val="00C84A05"/>
    <w:rsid w:val="00CA174C"/>
    <w:rsid w:val="00CA625B"/>
    <w:rsid w:val="00CB2107"/>
    <w:rsid w:val="00CB7DEF"/>
    <w:rsid w:val="00CE03C6"/>
    <w:rsid w:val="00CE727F"/>
    <w:rsid w:val="00D00B42"/>
    <w:rsid w:val="00D279B5"/>
    <w:rsid w:val="00D32AE5"/>
    <w:rsid w:val="00D33F6E"/>
    <w:rsid w:val="00D4459C"/>
    <w:rsid w:val="00D55136"/>
    <w:rsid w:val="00D554D2"/>
    <w:rsid w:val="00D6066A"/>
    <w:rsid w:val="00D8015E"/>
    <w:rsid w:val="00D80188"/>
    <w:rsid w:val="00D83828"/>
    <w:rsid w:val="00D869B0"/>
    <w:rsid w:val="00D95755"/>
    <w:rsid w:val="00DB203C"/>
    <w:rsid w:val="00DB5077"/>
    <w:rsid w:val="00DD4D1D"/>
    <w:rsid w:val="00DE6BA5"/>
    <w:rsid w:val="00E02015"/>
    <w:rsid w:val="00E0747D"/>
    <w:rsid w:val="00E20124"/>
    <w:rsid w:val="00E27944"/>
    <w:rsid w:val="00E479A1"/>
    <w:rsid w:val="00E513BA"/>
    <w:rsid w:val="00E52B3F"/>
    <w:rsid w:val="00E57AC1"/>
    <w:rsid w:val="00E67DA3"/>
    <w:rsid w:val="00E77408"/>
    <w:rsid w:val="00E96478"/>
    <w:rsid w:val="00EA3DBC"/>
    <w:rsid w:val="00EA76CA"/>
    <w:rsid w:val="00EA7DB2"/>
    <w:rsid w:val="00EC7522"/>
    <w:rsid w:val="00ED03BF"/>
    <w:rsid w:val="00EF1EB4"/>
    <w:rsid w:val="00F12086"/>
    <w:rsid w:val="00F14CCB"/>
    <w:rsid w:val="00F3204C"/>
    <w:rsid w:val="00F35DD3"/>
    <w:rsid w:val="00F35F34"/>
    <w:rsid w:val="00F3773A"/>
    <w:rsid w:val="00F64A48"/>
    <w:rsid w:val="00F81183"/>
    <w:rsid w:val="00F818BB"/>
    <w:rsid w:val="00F854FF"/>
    <w:rsid w:val="00F90D47"/>
    <w:rsid w:val="00F9138D"/>
    <w:rsid w:val="00FA372E"/>
    <w:rsid w:val="00FB36F1"/>
    <w:rsid w:val="00FB552A"/>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2F983"/>
  <w15:docId w15:val="{8691D7F4-D224-44A2-9176-914B2739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sz w:val="24"/>
      <w:lang w:eastAsia="zh-C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B2231B"/>
    <w:rPr>
      <w:sz w:val="0"/>
      <w:szCs w:val="0"/>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2B699D"/>
    <w:rPr>
      <w:rFonts w:cs="Times New Roman"/>
      <w:sz w:val="16"/>
    </w:rPr>
  </w:style>
  <w:style w:type="paragraph" w:styleId="CommentText">
    <w:name w:val="annotation text"/>
    <w:basedOn w:val="Normal"/>
    <w:link w:val="CommentTextChar"/>
    <w:uiPriority w:val="99"/>
    <w:rsid w:val="002B699D"/>
    <w:rPr>
      <w:sz w:val="20"/>
      <w:szCs w:val="20"/>
    </w:rPr>
  </w:style>
  <w:style w:type="character" w:customStyle="1" w:styleId="CommentTextChar">
    <w:name w:val="Comment Text Char"/>
    <w:basedOn w:val="DefaultParagraphFont"/>
    <w:link w:val="CommentText"/>
    <w:uiPriority w:val="99"/>
    <w:locked/>
    <w:rsid w:val="002B699D"/>
    <w:rPr>
      <w:lang w:eastAsia="zh-CN"/>
    </w:rPr>
  </w:style>
  <w:style w:type="paragraph" w:styleId="CommentSubject">
    <w:name w:val="annotation subject"/>
    <w:basedOn w:val="CommentText"/>
    <w:next w:val="CommentText"/>
    <w:link w:val="CommentSubjectChar"/>
    <w:uiPriority w:val="99"/>
    <w:rsid w:val="002B699D"/>
    <w:rPr>
      <w:b/>
      <w:bCs/>
    </w:rPr>
  </w:style>
  <w:style w:type="character" w:customStyle="1" w:styleId="CommentSubjectChar">
    <w:name w:val="Comment Subject Char"/>
    <w:basedOn w:val="CommentTextChar"/>
    <w:link w:val="CommentSubject"/>
    <w:uiPriority w:val="99"/>
    <w:locked/>
    <w:rsid w:val="002B699D"/>
    <w:rPr>
      <w:b/>
      <w:lang w:eastAsia="zh-CN"/>
    </w:rPr>
  </w:style>
  <w:style w:type="paragraph" w:styleId="ListParagraph">
    <w:name w:val="List Paragraph"/>
    <w:basedOn w:val="Normal"/>
    <w:uiPriority w:val="99"/>
    <w:qFormat/>
    <w:rsid w:val="00852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56563">
      <w:bodyDiv w:val="1"/>
      <w:marLeft w:val="0"/>
      <w:marRight w:val="0"/>
      <w:marTop w:val="0"/>
      <w:marBottom w:val="0"/>
      <w:divBdr>
        <w:top w:val="none" w:sz="0" w:space="0" w:color="auto"/>
        <w:left w:val="none" w:sz="0" w:space="0" w:color="auto"/>
        <w:bottom w:val="none" w:sz="0" w:space="0" w:color="auto"/>
        <w:right w:val="none" w:sz="0" w:space="0" w:color="auto"/>
      </w:divBdr>
    </w:div>
    <w:div w:id="1102528338">
      <w:bodyDiv w:val="1"/>
      <w:marLeft w:val="0"/>
      <w:marRight w:val="0"/>
      <w:marTop w:val="0"/>
      <w:marBottom w:val="0"/>
      <w:divBdr>
        <w:top w:val="none" w:sz="0" w:space="0" w:color="auto"/>
        <w:left w:val="none" w:sz="0" w:space="0" w:color="auto"/>
        <w:bottom w:val="none" w:sz="0" w:space="0" w:color="auto"/>
        <w:right w:val="none" w:sz="0" w:space="0" w:color="auto"/>
      </w:divBdr>
    </w:div>
    <w:div w:id="1565529615">
      <w:bodyDiv w:val="1"/>
      <w:marLeft w:val="0"/>
      <w:marRight w:val="0"/>
      <w:marTop w:val="0"/>
      <w:marBottom w:val="0"/>
      <w:divBdr>
        <w:top w:val="none" w:sz="0" w:space="0" w:color="auto"/>
        <w:left w:val="none" w:sz="0" w:space="0" w:color="auto"/>
        <w:bottom w:val="none" w:sz="0" w:space="0" w:color="auto"/>
        <w:right w:val="none" w:sz="0" w:space="0" w:color="auto"/>
      </w:divBdr>
    </w:div>
    <w:div w:id="2036617949">
      <w:bodyDiv w:val="1"/>
      <w:marLeft w:val="0"/>
      <w:marRight w:val="0"/>
      <w:marTop w:val="0"/>
      <w:marBottom w:val="0"/>
      <w:divBdr>
        <w:top w:val="none" w:sz="0" w:space="0" w:color="auto"/>
        <w:left w:val="none" w:sz="0" w:space="0" w:color="auto"/>
        <w:bottom w:val="none" w:sz="0" w:space="0" w:color="auto"/>
        <w:right w:val="none" w:sz="0" w:space="0" w:color="auto"/>
      </w:divBdr>
      <w:divsChild>
        <w:div w:id="14372108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NumberNum xmlns="03f70f19-e89e-44b9-ac87-203e4f9d8d9f">44</MeetingNumberNum>
    <OSSubTitleLookup xmlns="03f70f19-e89e-44b9-ac87-203e4f9d8d9f">19</OSSubTitleLookup>
    <HTMLSubTitle xmlns="03f70f19-e89e-44b9-ac87-203e4f9d8d9f">Presentation of the reports of the Secretary-General and High Commissioner for Human Rights</HTMLSubTitle>
    <SubTitleOrder xmlns="03f70f19-e89e-44b9-ac87-203e4f9d8d9f">2</SubTitleOrder>
    <HRCsession xmlns="03f70f19-e89e-44b9-ac87-203e4f9d8d9f">25thRegular</HRCsession>
    <Order1 xmlns="03f70f19-e89e-44b9-ac87-203e4f9d8d9f">39</Order1>
    <IsFirstSpeaker xmlns="03f70f19-e89e-44b9-ac87-203e4f9d8d9f">true</IsFirstSpeaker>
  </documentManagement>
</p:properties>
</file>

<file path=customXml/item2.xml><?xml version="1.0" encoding="utf-8"?>
<ct:contentTypeSchema xmlns:ct="http://schemas.microsoft.com/office/2006/metadata/contentType" xmlns:ma="http://schemas.microsoft.com/office/2006/metadata/properties/metaAttributes" ct:_="" ma:_="" ma:contentTypeName="OralStatements" ma:contentTypeID="0x0101000EC2D8C0A31541438DBF8C2F615ED21A002887AC2390D7BA47A4D19F5D36FCA841" ma:contentTypeVersion="25" ma:contentTypeDescription="Oral Statements" ma:contentTypeScope="" ma:versionID="dfc41cc02f6dfed92f59dbb98ef0a5cb">
  <xsd:schema xmlns:xsd="http://www.w3.org/2001/XMLSchema" xmlns:xs="http://www.w3.org/2001/XMLSchema" xmlns:p="http://schemas.microsoft.com/office/2006/metadata/properties" xmlns:ns2="03f70f19-e89e-44b9-ac87-203e4f9d8d9f" targetNamespace="http://schemas.microsoft.com/office/2006/metadata/properties" ma:root="true" ma:fieldsID="93ec188cc5ae4dd7c54d2fb3d502c7a7" ns2:_="">
    <xsd:import namespace="03f70f19-e89e-44b9-ac87-203e4f9d8d9f"/>
    <xsd:element name="properties">
      <xsd:complexType>
        <xsd:sequence>
          <xsd:element name="documentManagement">
            <xsd:complexType>
              <xsd:all>
                <xsd:element ref="ns2:OSSubTitleLookup" minOccurs="0"/>
                <xsd:element ref="ns2:Order1" minOccurs="0"/>
                <xsd:element ref="ns2:SubTitleOrder" minOccurs="0"/>
                <xsd:element ref="ns2:MeetingNumberNum" minOccurs="0"/>
                <xsd:element ref="ns2:HTMLSubTitle" minOccurs="0"/>
                <xsd:element ref="ns2:IsFirstSpeaker" minOccurs="0"/>
                <xsd:element ref="ns2:HRCse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OSSubTitleLookup" ma:index="2" nillable="true" ma:displayName="TypeOfSpeakerLookup" ma:list="{ffe4c858-7d22-4feb-a674-a7983ef9ecac}" ma:internalName="OSSubTitleLookup" ma:readOnly="false" ma:showField="Title" ma:web="03f70f19-e89e-44b9-ac87-203e4f9d8d9f">
      <xsd:simpleType>
        <xsd:restriction base="dms:Lookup"/>
      </xsd:simpleType>
    </xsd:element>
    <xsd:element name="Order1" ma:index="3" nillable="true" ma:displayName="StatementOrder" ma:decimals="1" ma:internalName="Order1" ma:readOnly="false" ma:percentage="FALSE">
      <xsd:simpleType>
        <xsd:restriction base="dms:Number"/>
      </xsd:simpleType>
    </xsd:element>
    <xsd:element name="SubTitleOrder" ma:index="4" nillable="true" ma:displayName="SubTitleOrder" ma:decimals="0" ma:internalName="SubTitleOrder">
      <xsd:simpleType>
        <xsd:restriction base="dms:Number"/>
      </xsd:simpleType>
    </xsd:element>
    <xsd:element name="MeetingNumberNum" ma:index="5" nillable="true" ma:displayName="MeetingNumberNum" ma:decimals="0" ma:internalName="MeetingNumberNum">
      <xsd:simpleType>
        <xsd:restriction base="dms:Number">
          <xsd:maxInclusive value="500"/>
          <xsd:minInclusive value="1"/>
        </xsd:restriction>
      </xsd:simpleType>
    </xsd:element>
    <xsd:element name="HTMLSubTitle" ma:index="6" nillable="true" ma:displayName="HTMLSubTitle" ma:internalName="HTMLSubTitle">
      <xsd:simpleType>
        <xsd:restriction base="dms:Unknown"/>
      </xsd:simpleType>
    </xsd:element>
    <xsd:element name="IsFirstSpeaker" ma:index="7" nillable="true" ma:displayName="IsFirstSpeaker" ma:default="0" ma:internalName="IsFirstSpeaker" ma:readOnly="false">
      <xsd:simpleType>
        <xsd:restriction base="dms:Boolean"/>
      </xsd:simpleType>
    </xsd:element>
    <xsd:element name="HRCsession" ma:index="8" nillable="true" ma:displayName="HRCsession" ma:default="25thRegular" ma:internalName="HRCses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480D-D310-4D98-9631-61DAE28D391F}">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03f70f19-e89e-44b9-ac87-203e4f9d8d9f"/>
    <ds:schemaRef ds:uri="http://www.w3.org/XML/1998/namespace"/>
    <ds:schemaRef ds:uri="http://purl.org/dc/elements/1.1/"/>
  </ds:schemaRefs>
</ds:datastoreItem>
</file>

<file path=customXml/itemProps2.xml><?xml version="1.0" encoding="utf-8"?>
<ds:datastoreItem xmlns:ds="http://schemas.openxmlformats.org/officeDocument/2006/customXml" ds:itemID="{42285691-701D-493D-9104-210D7A101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0AD19-84B2-416F-A6A0-6230BB3C6E5A}">
  <ds:schemaRefs>
    <ds:schemaRef ds:uri="http://schemas.microsoft.com/sharepoint/v3/contenttype/forms"/>
  </ds:schemaRefs>
</ds:datastoreItem>
</file>

<file path=customXml/itemProps4.xml><?xml version="1.0" encoding="utf-8"?>
<ds:datastoreItem xmlns:ds="http://schemas.openxmlformats.org/officeDocument/2006/customXml" ds:itemID="{481A634F-A478-485C-8E08-8188A21D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Ms. Navi Pillay, High Commissioner for Human Rights</vt:lpstr>
    </vt:vector>
  </TitlesOfParts>
  <Company>International Computing Centre</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Navi Pillay, High Commissioner for Human Rights</dc:title>
  <dc:creator>OHCHR</dc:creator>
  <cp:lastModifiedBy>Sarah Willig</cp:lastModifiedBy>
  <cp:revision>2</cp:revision>
  <cp:lastPrinted>2014-03-21T08:45:00Z</cp:lastPrinted>
  <dcterms:created xsi:type="dcterms:W3CDTF">2017-02-20T21:00:00Z</dcterms:created>
  <dcterms:modified xsi:type="dcterms:W3CDTF">2017-02-20T21:00:00Z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0x0101000EC2D8C0A31541438DBF8C2F615ED21A002887AC2390D7BA47A4D19F5D36FCA841</vt:lpwstr>
  </property>
</Properties>
</file>