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9038" w14:textId="77777777" w:rsidR="00FD5222" w:rsidRPr="00FD5222" w:rsidRDefault="00FD5222" w:rsidP="00FD5222">
      <w:pPr>
        <w:spacing w:after="0" w:line="240" w:lineRule="auto"/>
        <w:textAlignment w:val="baseline"/>
        <w:outlineLvl w:val="0"/>
        <w:rPr>
          <w:rFonts w:eastAsia="Times New Roman"/>
          <w:b/>
          <w:bCs/>
          <w:color w:val="223983"/>
          <w:kern w:val="36"/>
          <w:sz w:val="42"/>
          <w:szCs w:val="42"/>
          <w:lang w:bidi="he-IL"/>
          <w14:ligatures w14:val="none"/>
        </w:rPr>
      </w:pPr>
      <w:r w:rsidRPr="00FD5222">
        <w:rPr>
          <w:rFonts w:eastAsia="Times New Roman"/>
          <w:b/>
          <w:bCs/>
          <w:color w:val="223983"/>
          <w:kern w:val="36"/>
          <w:sz w:val="42"/>
          <w:szCs w:val="42"/>
          <w:lang w:bidi="he-IL"/>
          <w14:ligatures w14:val="none"/>
        </w:rPr>
        <w:t>UN Human Rights Council COI Report: Defamation and Disinformation</w:t>
      </w:r>
    </w:p>
    <w:p w14:paraId="5255941A" w14:textId="77777777" w:rsidR="00FD5222" w:rsidRDefault="00FD5222" w:rsidP="00FD5222">
      <w:pPr>
        <w:shd w:val="clear" w:color="auto" w:fill="FFFFFF"/>
        <w:spacing w:after="0" w:line="240" w:lineRule="auto"/>
        <w:textAlignment w:val="baseline"/>
        <w:rPr>
          <w:rFonts w:ascii="inherit" w:eastAsia="Times New Roman" w:hAnsi="inherit" w:cs="Arial"/>
          <w:color w:val="47484F"/>
          <w:kern w:val="0"/>
          <w:bdr w:val="none" w:sz="0" w:space="0" w:color="auto" w:frame="1"/>
          <w:lang w:bidi="he-IL"/>
          <w14:ligatures w14:val="none"/>
        </w:rPr>
      </w:pPr>
      <w:r w:rsidRPr="00FD5222">
        <w:rPr>
          <w:rFonts w:ascii="inherit" w:eastAsia="Times New Roman" w:hAnsi="inherit" w:cs="Arial"/>
          <w:color w:val="47484F"/>
          <w:kern w:val="0"/>
          <w:bdr w:val="none" w:sz="0" w:space="0" w:color="auto" w:frame="1"/>
          <w:lang w:bidi="he-IL"/>
          <w14:ligatures w14:val="none"/>
        </w:rPr>
        <w:t>June 08, 2023</w:t>
      </w:r>
      <w:r w:rsidRPr="00FD5222">
        <w:rPr>
          <w:rFonts w:ascii="futura" w:eastAsia="Times New Roman" w:hAnsi="futura" w:cs="Arial"/>
          <w:color w:val="47484F"/>
          <w:kern w:val="0"/>
          <w:lang w:bidi="he-IL"/>
          <w14:ligatures w14:val="none"/>
        </w:rPr>
        <w:t> </w:t>
      </w:r>
      <w:r w:rsidRPr="00FD5222">
        <w:rPr>
          <w:rFonts w:ascii="inherit" w:eastAsia="Times New Roman" w:hAnsi="inherit" w:cs="Arial"/>
          <w:color w:val="47484F"/>
          <w:kern w:val="0"/>
          <w:bdr w:val="none" w:sz="0" w:space="0" w:color="auto" w:frame="1"/>
          <w:lang w:bidi="he-IL"/>
          <w14:ligatures w14:val="none"/>
        </w:rPr>
        <w:t>(updated on July 17, 2023)</w:t>
      </w:r>
    </w:p>
    <w:p w14:paraId="10B1D0C4" w14:textId="192DC350" w:rsidR="00FD5222" w:rsidRDefault="00FD5222" w:rsidP="00FD5222">
      <w:pPr>
        <w:shd w:val="clear" w:color="auto" w:fill="FFFFFF"/>
        <w:spacing w:after="0" w:line="240" w:lineRule="auto"/>
        <w:textAlignment w:val="baseline"/>
        <w:rPr>
          <w:rFonts w:ascii="inherit" w:eastAsia="Times New Roman" w:hAnsi="inherit" w:cs="Arial"/>
          <w:color w:val="47484F"/>
          <w:kern w:val="0"/>
          <w:bdr w:val="none" w:sz="0" w:space="0" w:color="auto" w:frame="1"/>
          <w:lang w:bidi="he-IL"/>
          <w14:ligatures w14:val="none"/>
        </w:rPr>
      </w:pPr>
      <w:r>
        <w:rPr>
          <w:rFonts w:ascii="inherit" w:eastAsia="Times New Roman" w:hAnsi="inherit" w:cs="Arial"/>
          <w:color w:val="47484F"/>
          <w:kern w:val="0"/>
          <w:bdr w:val="none" w:sz="0" w:space="0" w:color="auto" w:frame="1"/>
          <w:lang w:bidi="he-IL"/>
          <w14:ligatures w14:val="none"/>
        </w:rPr>
        <w:t>NGO Monitor</w:t>
      </w:r>
    </w:p>
    <w:p w14:paraId="29076055" w14:textId="2FFCA4DC" w:rsidR="00FD5222" w:rsidRDefault="00FD5222" w:rsidP="00FD5222">
      <w:pPr>
        <w:shd w:val="clear" w:color="auto" w:fill="FFFFFF"/>
        <w:spacing w:after="0" w:line="240" w:lineRule="auto"/>
        <w:textAlignment w:val="baseline"/>
        <w:rPr>
          <w:rFonts w:ascii="futura" w:eastAsia="Times New Roman" w:hAnsi="futura" w:cs="Arial"/>
          <w:color w:val="47484F"/>
          <w:kern w:val="0"/>
          <w:lang w:bidi="he-IL"/>
          <w14:ligatures w14:val="none"/>
        </w:rPr>
      </w:pPr>
      <w:hyperlink r:id="rId5" w:history="1">
        <w:r w:rsidRPr="00917F3C">
          <w:rPr>
            <w:rStyle w:val="Hyperlink"/>
            <w:rFonts w:ascii="futura" w:eastAsia="Times New Roman" w:hAnsi="futura" w:cs="Arial"/>
            <w:kern w:val="0"/>
            <w:lang w:bidi="he-IL"/>
            <w14:ligatures w14:val="none"/>
          </w:rPr>
          <w:t>https://www.ngo-monitor.org/reports/coi-volume-3/</w:t>
        </w:r>
      </w:hyperlink>
    </w:p>
    <w:p w14:paraId="5BDF9CE0" w14:textId="77777777" w:rsidR="00FD5222" w:rsidRPr="00FD5222" w:rsidRDefault="00FD5222" w:rsidP="00FD5222">
      <w:pPr>
        <w:shd w:val="clear" w:color="auto" w:fill="FFFFFF"/>
        <w:spacing w:after="0" w:line="240" w:lineRule="auto"/>
        <w:textAlignment w:val="baseline"/>
        <w:rPr>
          <w:rFonts w:ascii="futura" w:eastAsia="Times New Roman" w:hAnsi="futura" w:cs="Arial"/>
          <w:color w:val="47484F"/>
          <w:kern w:val="0"/>
          <w:lang w:bidi="he-IL"/>
          <w14:ligatures w14:val="none"/>
        </w:rPr>
      </w:pPr>
    </w:p>
    <w:p w14:paraId="381F8888"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On June 8, 2023, the UN Human Rights Council (UNHRC)’s permanent “Independent International Commission of Inquiry on the Occupied Palestinian Territory, including East Jerusalem, and in Israel” (COI) </w:t>
      </w:r>
      <w:hyperlink r:id="rId6" w:history="1">
        <w:r w:rsidRPr="00FD5222">
          <w:rPr>
            <w:rFonts w:ascii="inherit" w:eastAsia="Times New Roman" w:hAnsi="inherit" w:cs="Arial"/>
            <w:color w:val="0000FF"/>
            <w:kern w:val="0"/>
            <w:u w:val="single"/>
            <w:bdr w:val="none" w:sz="0" w:space="0" w:color="auto" w:frame="1"/>
            <w:lang w:bidi="he-IL"/>
            <w14:ligatures w14:val="none"/>
          </w:rPr>
          <w:t>published a report</w:t>
        </w:r>
      </w:hyperlink>
      <w:r w:rsidRPr="00FD5222">
        <w:rPr>
          <w:rFonts w:ascii="inherit" w:eastAsia="Times New Roman" w:hAnsi="inherit" w:cs="Arial"/>
          <w:color w:val="000000"/>
          <w:kern w:val="0"/>
          <w:bdr w:val="none" w:sz="0" w:space="0" w:color="auto" w:frame="1"/>
          <w:lang w:bidi="he-IL"/>
          <w14:ligatures w14:val="none"/>
        </w:rPr>
        <w:t> purporting to investigate “attacks, restrictions and harassment of civil-society actors.” </w:t>
      </w:r>
    </w:p>
    <w:p w14:paraId="2CC59024"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Like in previous publications, the COI </w:t>
      </w:r>
      <w:proofErr w:type="gramStart"/>
      <w:r w:rsidRPr="00FD5222">
        <w:rPr>
          <w:rFonts w:ascii="inherit" w:eastAsia="Times New Roman" w:hAnsi="inherit" w:cs="Arial"/>
          <w:color w:val="000000"/>
          <w:kern w:val="0"/>
          <w:bdr w:val="none" w:sz="0" w:space="0" w:color="auto" w:frame="1"/>
          <w:lang w:bidi="he-IL"/>
          <w14:ligatures w14:val="none"/>
        </w:rPr>
        <w:t>parrots</w:t>
      </w:r>
      <w:proofErr w:type="gramEnd"/>
      <w:r w:rsidRPr="00FD5222">
        <w:rPr>
          <w:rFonts w:ascii="inherit" w:eastAsia="Times New Roman" w:hAnsi="inherit" w:cs="Arial"/>
          <w:color w:val="000000"/>
          <w:kern w:val="0"/>
          <w:bdr w:val="none" w:sz="0" w:space="0" w:color="auto" w:frame="1"/>
          <w:lang w:bidi="he-IL"/>
          <w14:ligatures w14:val="none"/>
        </w:rPr>
        <w:t xml:space="preserve"> terror-linked NGOs, grossly distorts Israeli policy and practice, and contravenes fact-finding best practices including UN standards.</w:t>
      </w:r>
    </w:p>
    <w:p w14:paraId="32377A8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The COI document contains little original research. Rather, it copies-and-pastes from previous UN attacks on Israel – themselves largely based on distorted NGO claims; NGO publications account for nearly 40% of all material cited in the report. Notably, the COI cites to Israeli-designated terrorist entities – including </w:t>
      </w:r>
      <w:proofErr w:type="spellStart"/>
      <w:r w:rsidRPr="00FD5222">
        <w:rPr>
          <w:rFonts w:ascii="inherit" w:eastAsia="Times New Roman" w:hAnsi="inherit" w:cs="Arial"/>
          <w:color w:val="000000"/>
          <w:kern w:val="0"/>
          <w:bdr w:val="none" w:sz="0" w:space="0" w:color="auto" w:frame="1"/>
          <w:lang w:bidi="he-IL"/>
          <w14:ligatures w14:val="none"/>
        </w:rPr>
        <w:t>Addameer</w:t>
      </w:r>
      <w:proofErr w:type="spellEnd"/>
      <w:r w:rsidRPr="00FD5222">
        <w:rPr>
          <w:rFonts w:ascii="inherit" w:eastAsia="Times New Roman" w:hAnsi="inherit" w:cs="Arial"/>
          <w:color w:val="000000"/>
          <w:kern w:val="0"/>
          <w:bdr w:val="none" w:sz="0" w:space="0" w:color="auto" w:frame="1"/>
          <w:lang w:bidi="he-IL"/>
          <w14:ligatures w14:val="none"/>
        </w:rPr>
        <w:t xml:space="preserve">, Al-Haq, and Bisan – and other terror-linked organizations such as the Palestinian Centre for Human Rights (PCHR) and the Independent Commission for Human Rights (ICHR). Additionally, the COI sources </w:t>
      </w:r>
      <w:proofErr w:type="gramStart"/>
      <w:r w:rsidRPr="00FD5222">
        <w:rPr>
          <w:rFonts w:ascii="inherit" w:eastAsia="Times New Roman" w:hAnsi="inherit" w:cs="Arial"/>
          <w:color w:val="000000"/>
          <w:kern w:val="0"/>
          <w:bdr w:val="none" w:sz="0" w:space="0" w:color="auto" w:frame="1"/>
          <w:lang w:bidi="he-IL"/>
          <w14:ligatures w14:val="none"/>
        </w:rPr>
        <w:t>to  NGOs</w:t>
      </w:r>
      <w:proofErr w:type="gramEnd"/>
      <w:r w:rsidRPr="00FD5222">
        <w:rPr>
          <w:rFonts w:ascii="inherit" w:eastAsia="Times New Roman" w:hAnsi="inherit" w:cs="Arial"/>
          <w:color w:val="000000"/>
          <w:kern w:val="0"/>
          <w:bdr w:val="none" w:sz="0" w:space="0" w:color="auto" w:frame="1"/>
          <w:lang w:bidi="he-IL"/>
          <w14:ligatures w14:val="none"/>
        </w:rPr>
        <w:t xml:space="preserve"> that consistently advance an anti-Israel “apartheid” narrative, rejecting Israel’s right to exist as a Jewish state and advocating for BDS: Human Rights Watch (HRW), Amnesty International, International Federation of Human Rights (FIDH), and B’Tselem. </w:t>
      </w:r>
    </w:p>
    <w:p w14:paraId="1564C23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 engages in tokenism, claiming that it “heard from both Israeli and Palestinian civil-society actors,” masking the fact that such organizations are ideologically aligned – and aligned with the COI’s political agenda. The COI refused to meet with key witnesses, or with any stakeholders who did not promote anti-Israel or anti-Zionist viewpoints.</w:t>
      </w:r>
    </w:p>
    <w:p w14:paraId="557BC02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addition, the COI continues its efforts to advance prosecutions against Israelis at the International Criminal Court (ICC), recommending “that the Office of the Prosecutor of the International Criminal Court prioritize the investigation into the situation in the Occupied Palestinian Territory, including the identification of direct perpetrators, those exercising command responsibility and individuals who aid or abet the commission of crimes under the Court’s jurisdiction.”</w:t>
      </w:r>
    </w:p>
    <w:p w14:paraId="0786670B"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Lack of transparency and methodological flaws</w:t>
      </w:r>
    </w:p>
    <w:p w14:paraId="4A2BB53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lastRenderedPageBreak/>
        <w:t>Reflecting the ongoing secrecy surrounding the COI, this publication relies heavily on unverifiable, anonymous testimonies and politicized NGOs. It is unclear if and how the COI attempted to independently corroborate these sources and to what extent it engaged in any investigation beyond a narrow selection of source material and individuals confirming the COI’s predetermined conclusions.  </w:t>
      </w:r>
    </w:p>
    <w:p w14:paraId="09D2C204"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According to the text, “the Commission relied on 127 interviews, testimonies given during two rounds of hearings, research, discussions with stakeholders and experts, and 20 submissions received following a call for submissions issued on 2 November 2022.” Moreover, the COI wrote that “Only material that met the standard of proof of ‘reasonable grounds to conclude’ was included in this report.” </w:t>
      </w:r>
    </w:p>
    <w:p w14:paraId="7569C32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No interviewees, “stakeholders”, or “experts”, are identified, nor did the COI detail how any of these individuals were selected or how their expertise was determined. No information is provided as to how the COI assessed the “reasonable grounds to conclude” standard.</w:t>
      </w:r>
    </w:p>
    <w:p w14:paraId="7571B09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While preparing this report, in </w:t>
      </w:r>
      <w:hyperlink r:id="rId7" w:history="1">
        <w:r w:rsidRPr="00FD5222">
          <w:rPr>
            <w:rFonts w:ascii="inherit" w:eastAsia="Times New Roman" w:hAnsi="inherit" w:cs="Arial"/>
            <w:color w:val="0000FF"/>
            <w:kern w:val="0"/>
            <w:u w:val="single"/>
            <w:bdr w:val="none" w:sz="0" w:space="0" w:color="auto" w:frame="1"/>
            <w:lang w:bidi="he-IL"/>
            <w14:ligatures w14:val="none"/>
          </w:rPr>
          <w:t>November 2022</w:t>
        </w:r>
      </w:hyperlink>
      <w:r w:rsidRPr="00FD5222">
        <w:rPr>
          <w:rFonts w:ascii="inherit" w:eastAsia="Times New Roman" w:hAnsi="inherit" w:cs="Arial"/>
          <w:color w:val="000000"/>
          <w:kern w:val="0"/>
          <w:bdr w:val="none" w:sz="0" w:space="0" w:color="auto" w:frame="1"/>
          <w:lang w:bidi="he-IL"/>
          <w14:ligatures w14:val="none"/>
        </w:rPr>
        <w:t> and </w:t>
      </w:r>
      <w:hyperlink r:id="rId8" w:history="1">
        <w:r w:rsidRPr="00FD5222">
          <w:rPr>
            <w:rFonts w:ascii="inherit" w:eastAsia="Times New Roman" w:hAnsi="inherit" w:cs="Arial"/>
            <w:color w:val="0000FF"/>
            <w:kern w:val="0"/>
            <w:u w:val="single"/>
            <w:bdr w:val="none" w:sz="0" w:space="0" w:color="auto" w:frame="1"/>
            <w:lang w:bidi="he-IL"/>
            <w14:ligatures w14:val="none"/>
          </w:rPr>
          <w:t>March 2023</w:t>
        </w:r>
      </w:hyperlink>
      <w:r w:rsidRPr="00FD5222">
        <w:rPr>
          <w:rFonts w:ascii="inherit" w:eastAsia="Times New Roman" w:hAnsi="inherit" w:cs="Arial"/>
          <w:color w:val="000000"/>
          <w:kern w:val="0"/>
          <w:bdr w:val="none" w:sz="0" w:space="0" w:color="auto" w:frame="1"/>
          <w:lang w:bidi="he-IL"/>
          <w14:ligatures w14:val="none"/>
        </w:rPr>
        <w:t>, the COI held a series of public hearings on “shrinking space for civil society,” representing an exceedingly narrow selection of identified participants, including 12 who were unnamed. (For more information on the hearings, see NGO Monitor’s analyses).</w:t>
      </w:r>
    </w:p>
    <w:p w14:paraId="2590C53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an </w:t>
      </w:r>
      <w:hyperlink r:id="rId9" w:history="1">
        <w:r w:rsidRPr="00FD5222">
          <w:rPr>
            <w:rFonts w:ascii="inherit" w:eastAsia="Times New Roman" w:hAnsi="inherit" w:cs="Arial"/>
            <w:color w:val="0000FF"/>
            <w:kern w:val="0"/>
            <w:u w:val="single"/>
            <w:bdr w:val="none" w:sz="0" w:space="0" w:color="auto" w:frame="1"/>
            <w:lang w:bidi="he-IL"/>
            <w14:ligatures w14:val="none"/>
          </w:rPr>
          <w:t>August 2022 interview with one of the Commissioners</w:t>
        </w:r>
      </w:hyperlink>
      <w:r w:rsidRPr="00FD5222">
        <w:rPr>
          <w:rFonts w:ascii="inherit" w:eastAsia="Times New Roman" w:hAnsi="inherit" w:cs="Arial"/>
          <w:color w:val="000000"/>
          <w:kern w:val="0"/>
          <w:bdr w:val="none" w:sz="0" w:space="0" w:color="auto" w:frame="1"/>
          <w:lang w:bidi="he-IL"/>
          <w14:ligatures w14:val="none"/>
        </w:rPr>
        <w:t>, it was revealed that they also “are having regular roundtables…with 20 leading academics and journalists and former diplomats.”  Again, none was identified.  </w:t>
      </w:r>
    </w:p>
    <w:p w14:paraId="3DEA643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proofErr w:type="gramStart"/>
      <w:r w:rsidRPr="00FD5222">
        <w:rPr>
          <w:rFonts w:ascii="inherit" w:eastAsia="Times New Roman" w:hAnsi="inherit" w:cs="Arial"/>
          <w:color w:val="000000"/>
          <w:kern w:val="0"/>
          <w:bdr w:val="none" w:sz="0" w:space="0" w:color="auto" w:frame="1"/>
          <w:lang w:bidi="he-IL"/>
          <w14:ligatures w14:val="none"/>
        </w:rPr>
        <w:t>However,  based</w:t>
      </w:r>
      <w:proofErr w:type="gramEnd"/>
      <w:r w:rsidRPr="00FD5222">
        <w:rPr>
          <w:rFonts w:ascii="inherit" w:eastAsia="Times New Roman" w:hAnsi="inherit" w:cs="Arial"/>
          <w:color w:val="000000"/>
          <w:kern w:val="0"/>
          <w:bdr w:val="none" w:sz="0" w:space="0" w:color="auto" w:frame="1"/>
          <w:lang w:bidi="he-IL"/>
          <w14:ligatures w14:val="none"/>
        </w:rPr>
        <w:t xml:space="preserve"> on information provided to NGO Monitor by individuals familiar with the COI, it appears that the COI ignored key witnesses and did not meet with stakeholders who did not promote anti-Israel or anti-Zionist viewpoints. In addition, it appears that the COI did not make any attempt to engage with the individuals and organizations that made submissions to the COI from a perspective that was not overwhelmingly hostile to Israel. As a result of this biased methodology, the entire process clearly has no validity. </w:t>
      </w:r>
    </w:p>
    <w:p w14:paraId="6412486C"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Misrepresentation of Israeli anti-terror policy</w:t>
      </w:r>
    </w:p>
    <w:p w14:paraId="2C713FE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A major dimension of the COI publication is the strong condemnation </w:t>
      </w:r>
      <w:proofErr w:type="gramStart"/>
      <w:r w:rsidRPr="00FD5222">
        <w:rPr>
          <w:rFonts w:ascii="inherit" w:eastAsia="Times New Roman" w:hAnsi="inherit" w:cs="Arial"/>
          <w:color w:val="000000"/>
          <w:kern w:val="0"/>
          <w:bdr w:val="none" w:sz="0" w:space="0" w:color="auto" w:frame="1"/>
          <w:lang w:bidi="he-IL"/>
          <w14:ligatures w14:val="none"/>
        </w:rPr>
        <w:t>of  Israel</w:t>
      </w:r>
      <w:proofErr w:type="gramEnd"/>
      <w:r w:rsidRPr="00FD5222">
        <w:rPr>
          <w:rFonts w:ascii="inherit" w:eastAsia="Times New Roman" w:hAnsi="inherit" w:cs="Arial"/>
          <w:color w:val="000000"/>
          <w:kern w:val="0"/>
          <w:bdr w:val="none" w:sz="0" w:space="0" w:color="auto" w:frame="1"/>
          <w:lang w:bidi="he-IL"/>
          <w14:ligatures w14:val="none"/>
        </w:rPr>
        <w:t xml:space="preserve"> for its October 2021 designation of six Palestinian NGOs as terrorist entities, based on their ties to the PFLP terrorist organization.  In the COI’s presentation, Israel was </w:t>
      </w:r>
      <w:proofErr w:type="gramStart"/>
      <w:r w:rsidRPr="00FD5222">
        <w:rPr>
          <w:rFonts w:ascii="inherit" w:eastAsia="Times New Roman" w:hAnsi="inherit" w:cs="Arial"/>
          <w:color w:val="000000"/>
          <w:kern w:val="0"/>
          <w:bdr w:val="none" w:sz="0" w:space="0" w:color="auto" w:frame="1"/>
          <w:lang w:bidi="he-IL"/>
          <w14:ligatures w14:val="none"/>
        </w:rPr>
        <w:t>ostensibly  motivated</w:t>
      </w:r>
      <w:proofErr w:type="gramEnd"/>
      <w:r w:rsidRPr="00FD5222">
        <w:rPr>
          <w:rFonts w:ascii="inherit" w:eastAsia="Times New Roman" w:hAnsi="inherit" w:cs="Arial"/>
          <w:color w:val="000000"/>
          <w:kern w:val="0"/>
          <w:bdr w:val="none" w:sz="0" w:space="0" w:color="auto" w:frame="1"/>
          <w:lang w:bidi="he-IL"/>
          <w14:ligatures w14:val="none"/>
        </w:rPr>
        <w:t xml:space="preserve"> by a desire to “silence” Palestinian civil society. This distorts and ignores the copious, publicly-available documentation indicating that these NGOs and their officials are closely </w:t>
      </w:r>
      <w:r w:rsidRPr="00FD5222">
        <w:rPr>
          <w:rFonts w:ascii="inherit" w:eastAsia="Times New Roman" w:hAnsi="inherit" w:cs="Arial"/>
          <w:color w:val="000000"/>
          <w:kern w:val="0"/>
          <w:bdr w:val="none" w:sz="0" w:space="0" w:color="auto" w:frame="1"/>
          <w:lang w:bidi="he-IL"/>
          <w14:ligatures w14:val="none"/>
        </w:rPr>
        <w:lastRenderedPageBreak/>
        <w:t xml:space="preserve">affiliated to the PFLP, including those who murdered Israeli teenager Rina </w:t>
      </w:r>
      <w:proofErr w:type="spellStart"/>
      <w:r w:rsidRPr="00FD5222">
        <w:rPr>
          <w:rFonts w:ascii="inherit" w:eastAsia="Times New Roman" w:hAnsi="inherit" w:cs="Arial"/>
          <w:color w:val="000000"/>
          <w:kern w:val="0"/>
          <w:bdr w:val="none" w:sz="0" w:space="0" w:color="auto" w:frame="1"/>
          <w:lang w:bidi="he-IL"/>
          <w14:ligatures w14:val="none"/>
        </w:rPr>
        <w:t>Shnerb</w:t>
      </w:r>
      <w:proofErr w:type="spellEnd"/>
      <w:r w:rsidRPr="00FD5222">
        <w:rPr>
          <w:rFonts w:ascii="inherit" w:eastAsia="Times New Roman" w:hAnsi="inherit" w:cs="Arial"/>
          <w:color w:val="000000"/>
          <w:kern w:val="0"/>
          <w:bdr w:val="none" w:sz="0" w:space="0" w:color="auto" w:frame="1"/>
          <w:lang w:bidi="he-IL"/>
          <w14:ligatures w14:val="none"/>
        </w:rPr>
        <w:t xml:space="preserve"> in a 2019 bombing – a killing not mentioned by the COI.</w:t>
      </w:r>
    </w:p>
    <w:p w14:paraId="0FAD9DF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February 2023, NGO Monitor published “</w:t>
      </w:r>
      <w:hyperlink r:id="rId10" w:history="1">
        <w:r w:rsidRPr="00FD5222">
          <w:rPr>
            <w:rFonts w:ascii="inherit" w:eastAsia="Times New Roman" w:hAnsi="inherit" w:cs="Arial"/>
            <w:color w:val="0000FF"/>
            <w:kern w:val="0"/>
            <w:u w:val="single"/>
            <w:bdr w:val="none" w:sz="0" w:space="0" w:color="auto" w:frame="1"/>
            <w:lang w:bidi="he-IL"/>
            <w14:ligatures w14:val="none"/>
          </w:rPr>
          <w:t>Clear and Convincing: The Links between the PFLP and the European Government-funded NGO Network</w:t>
        </w:r>
      </w:hyperlink>
      <w:r w:rsidRPr="00FD5222">
        <w:rPr>
          <w:rFonts w:ascii="inherit" w:eastAsia="Times New Roman" w:hAnsi="inherit" w:cs="Arial"/>
          <w:color w:val="000000"/>
          <w:kern w:val="0"/>
          <w:bdr w:val="none" w:sz="0" w:space="0" w:color="auto" w:frame="1"/>
          <w:lang w:bidi="he-IL"/>
          <w14:ligatures w14:val="none"/>
        </w:rPr>
        <w:t>.”  The report catalogs myriad links between the designated NGOs and the PFLP, including:</w:t>
      </w:r>
    </w:p>
    <w:p w14:paraId="12920225" w14:textId="77777777" w:rsidR="00FD5222" w:rsidRPr="00FD5222" w:rsidRDefault="00FD5222" w:rsidP="00FD5222">
      <w:pPr>
        <w:numPr>
          <w:ilvl w:val="0"/>
          <w:numId w:val="1"/>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Three senior NGO officials – Samer Arbid, Walid </w:t>
      </w:r>
      <w:proofErr w:type="spellStart"/>
      <w:r w:rsidRPr="00FD5222">
        <w:rPr>
          <w:rFonts w:ascii="inherit" w:eastAsia="Times New Roman" w:hAnsi="inherit" w:cs="Arial"/>
          <w:color w:val="000000"/>
          <w:kern w:val="0"/>
          <w:bdr w:val="none" w:sz="0" w:space="0" w:color="auto" w:frame="1"/>
          <w:lang w:bidi="he-IL"/>
          <w14:ligatures w14:val="none"/>
        </w:rPr>
        <w:t>Hanatsheh</w:t>
      </w:r>
      <w:proofErr w:type="spellEnd"/>
      <w:r w:rsidRPr="00FD5222">
        <w:rPr>
          <w:rFonts w:ascii="inherit" w:eastAsia="Times New Roman" w:hAnsi="inherit" w:cs="Arial"/>
          <w:color w:val="000000"/>
          <w:kern w:val="0"/>
          <w:bdr w:val="none" w:sz="0" w:space="0" w:color="auto" w:frame="1"/>
          <w:lang w:bidi="he-IL"/>
          <w14:ligatures w14:val="none"/>
        </w:rPr>
        <w:t xml:space="preserve">, Abdel </w:t>
      </w:r>
      <w:proofErr w:type="spellStart"/>
      <w:r w:rsidRPr="00FD5222">
        <w:rPr>
          <w:rFonts w:ascii="inherit" w:eastAsia="Times New Roman" w:hAnsi="inherit" w:cs="Arial"/>
          <w:color w:val="000000"/>
          <w:kern w:val="0"/>
          <w:bdr w:val="none" w:sz="0" w:space="0" w:color="auto" w:frame="1"/>
          <w:lang w:bidi="he-IL"/>
          <w14:ligatures w14:val="none"/>
        </w:rPr>
        <w:t>Razeq</w:t>
      </w:r>
      <w:proofErr w:type="spellEnd"/>
      <w:r w:rsidRPr="00FD5222">
        <w:rPr>
          <w:rFonts w:ascii="inherit" w:eastAsia="Times New Roman" w:hAnsi="inherit" w:cs="Arial"/>
          <w:color w:val="000000"/>
          <w:kern w:val="0"/>
          <w:bdr w:val="none" w:sz="0" w:space="0" w:color="auto" w:frame="1"/>
          <w:lang w:bidi="he-IL"/>
          <w14:ligatures w14:val="none"/>
        </w:rPr>
        <w:t xml:space="preserve"> Farraj – indicted and standing trial for their alleged involvement in a deadly August 2019 bombing that killed an Israeli teenager. All of them have been claimed by the PFLP as members of the terror group and praised by the PFLP for carrying out the “heroic operation”.</w:t>
      </w:r>
    </w:p>
    <w:p w14:paraId="0669111F" w14:textId="77777777" w:rsidR="00FD5222" w:rsidRPr="00FD5222" w:rsidRDefault="00FD5222" w:rsidP="00FD5222">
      <w:pPr>
        <w:numPr>
          <w:ilvl w:val="0"/>
          <w:numId w:val="1"/>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Nine NGO officials convicted for their involvement in planning or executing other terrorist attacks.</w:t>
      </w:r>
    </w:p>
    <w:p w14:paraId="07C29746" w14:textId="77777777" w:rsidR="00FD5222" w:rsidRPr="00FD5222" w:rsidRDefault="00FD5222" w:rsidP="00FD5222">
      <w:pPr>
        <w:numPr>
          <w:ilvl w:val="0"/>
          <w:numId w:val="1"/>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Thirty-seven additional NGO officials affiliated with the PFLP.</w:t>
      </w:r>
    </w:p>
    <w:p w14:paraId="4F321712" w14:textId="77777777" w:rsidR="00FD5222" w:rsidRPr="00FD5222" w:rsidRDefault="00FD5222" w:rsidP="00FD5222">
      <w:pPr>
        <w:numPr>
          <w:ilvl w:val="0"/>
          <w:numId w:val="1"/>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Five financial institutions – Citibank, Arab Bank, American Express, Visa, Mastercard – </w:t>
      </w:r>
      <w:hyperlink r:id="rId11" w:history="1">
        <w:r w:rsidRPr="00FD5222">
          <w:rPr>
            <w:rFonts w:ascii="inherit" w:eastAsia="Times New Roman" w:hAnsi="inherit" w:cs="Arial"/>
            <w:color w:val="0000FF"/>
            <w:kern w:val="0"/>
            <w:u w:val="single"/>
            <w:bdr w:val="none" w:sz="0" w:space="0" w:color="auto" w:frame="1"/>
            <w:lang w:bidi="he-IL"/>
            <w14:ligatures w14:val="none"/>
          </w:rPr>
          <w:t>shut down</w:t>
        </w:r>
      </w:hyperlink>
      <w:r w:rsidRPr="00FD5222">
        <w:rPr>
          <w:rFonts w:ascii="inherit" w:eastAsia="Times New Roman" w:hAnsi="inherit" w:cs="Arial"/>
          <w:color w:val="000000"/>
          <w:kern w:val="0"/>
          <w:bdr w:val="none" w:sz="0" w:space="0" w:color="auto" w:frame="1"/>
          <w:lang w:bidi="he-IL"/>
          <w14:ligatures w14:val="none"/>
        </w:rPr>
        <w:t> online donations and accounts of PFLP-linked NGOs.</w:t>
      </w:r>
    </w:p>
    <w:p w14:paraId="4FABE1AF" w14:textId="77777777" w:rsidR="00FD5222" w:rsidRPr="00FD5222" w:rsidRDefault="00FD5222" w:rsidP="00FD5222">
      <w:pPr>
        <w:numPr>
          <w:ilvl w:val="0"/>
          <w:numId w:val="1"/>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2022, the Dutch government announced the results of an 18-month audit conducted by a Dutch firm that identified 34 individuals who held positions in both UAWC and the PFLP between 2007-2020. As a result, the </w:t>
      </w:r>
      <w:hyperlink r:id="rId12" w:history="1">
        <w:r w:rsidRPr="00FD5222">
          <w:rPr>
            <w:rFonts w:ascii="inherit" w:eastAsia="Times New Roman" w:hAnsi="inherit" w:cs="Arial"/>
            <w:color w:val="0000FF"/>
            <w:kern w:val="0"/>
            <w:u w:val="single"/>
            <w:bdr w:val="none" w:sz="0" w:space="0" w:color="auto" w:frame="1"/>
            <w:lang w:bidi="he-IL"/>
            <w14:ligatures w14:val="none"/>
          </w:rPr>
          <w:t>Netherlands canceled its contract with UAWC</w:t>
        </w:r>
      </w:hyperlink>
      <w:r w:rsidRPr="00FD5222">
        <w:rPr>
          <w:rFonts w:ascii="inherit" w:eastAsia="Times New Roman" w:hAnsi="inherit" w:cs="Arial"/>
          <w:color w:val="000000"/>
          <w:kern w:val="0"/>
          <w:bdr w:val="none" w:sz="0" w:space="0" w:color="auto" w:frame="1"/>
          <w:lang w:bidi="he-IL"/>
          <w14:ligatures w14:val="none"/>
        </w:rPr>
        <w:t>.</w:t>
      </w:r>
    </w:p>
    <w:p w14:paraId="0FFDCFB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Of particular importance is the fact that the COI made no effort to contact or interview the family of Rena </w:t>
      </w:r>
      <w:proofErr w:type="spellStart"/>
      <w:r w:rsidRPr="00FD5222">
        <w:rPr>
          <w:rFonts w:ascii="inherit" w:eastAsia="Times New Roman" w:hAnsi="inherit" w:cs="Arial"/>
          <w:color w:val="000000"/>
          <w:kern w:val="0"/>
          <w:bdr w:val="none" w:sz="0" w:space="0" w:color="auto" w:frame="1"/>
          <w:lang w:bidi="he-IL"/>
          <w14:ligatures w14:val="none"/>
        </w:rPr>
        <w:t>Shnerb</w:t>
      </w:r>
      <w:proofErr w:type="spellEnd"/>
      <w:r w:rsidRPr="00FD5222">
        <w:rPr>
          <w:rFonts w:ascii="inherit" w:eastAsia="Times New Roman" w:hAnsi="inherit" w:cs="Arial"/>
          <w:color w:val="000000"/>
          <w:kern w:val="0"/>
          <w:bdr w:val="none" w:sz="0" w:space="0" w:color="auto" w:frame="1"/>
          <w:lang w:bidi="he-IL"/>
          <w14:ligatures w14:val="none"/>
        </w:rPr>
        <w:t>, the 17-year-old murdered by PFLP terror operatives – who were also senior NGO officials, even though this event was the primary catalyst for the Israeli investigation and subsequent terror designation of these NGOs. </w:t>
      </w:r>
    </w:p>
    <w:p w14:paraId="1717655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 credible inquiry should also have called attention to the Dutch investigation and included interviews with key witnesses. That the COI only “investigated” one side highlights its ongoing bias and inability to carry out its work in accordance with standard fact-finding procedures and UN codes of conduct.</w:t>
      </w:r>
    </w:p>
    <w:p w14:paraId="7797B91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another instance, the Commission refers to an Israeli-Arab citizen on trial for incitement, claiming it as an example of an indictment “based on Arabic social-media posts that may have been inaccurately translated and interpreted by the police and judiciary.” Here, </w:t>
      </w:r>
      <w:hyperlink r:id="rId13" w:history="1">
        <w:r w:rsidRPr="00FD5222">
          <w:rPr>
            <w:rFonts w:ascii="inherit" w:eastAsia="Times New Roman" w:hAnsi="inherit" w:cs="Arial"/>
            <w:color w:val="0000FF"/>
            <w:kern w:val="0"/>
            <w:u w:val="single"/>
            <w:bdr w:val="none" w:sz="0" w:space="0" w:color="auto" w:frame="1"/>
            <w:lang w:bidi="he-IL"/>
            <w14:ligatures w14:val="none"/>
          </w:rPr>
          <w:t>the COI ignores multiple examples of incitement</w:t>
        </w:r>
      </w:hyperlink>
      <w:r w:rsidRPr="00FD5222">
        <w:rPr>
          <w:rFonts w:ascii="inherit" w:eastAsia="Times New Roman" w:hAnsi="inherit" w:cs="Arial"/>
          <w:color w:val="000000"/>
          <w:kern w:val="0"/>
          <w:bdr w:val="none" w:sz="0" w:space="0" w:color="auto" w:frame="1"/>
          <w:lang w:bidi="he-IL"/>
          <w14:ligatures w14:val="none"/>
        </w:rPr>
        <w:t> for which the defendant was convicted – including amplifying calls for violence issued by Palestinian Islamic Jihad. Instead, it focused only on a single instance in which the judge rejected the translation of a poem provided by the prosecution.</w:t>
      </w:r>
    </w:p>
    <w:p w14:paraId="12A44BD9"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IHRA Definition</w:t>
      </w:r>
    </w:p>
    <w:p w14:paraId="43FE88F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lastRenderedPageBreak/>
        <w:t>In the report, the COI attacks the International Holocaust Remembrance Alliance (IHRA) consensus working definition of antisemitism, labeling it as “controversial” and claiming that as a result of the broad acceptance of the definition, “legitimate criticism of Israeli policies and actions is increasingly reframed as antisemitism.”</w:t>
      </w:r>
    </w:p>
    <w:p w14:paraId="16DA44D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This gratuitous attack again reflects the COI’s emphasis on parroting and amplifying the self-serving NGO campaign to undermine IHRA in order to deny the right of the Jewish people to self-determination and advance discriminatory BDS campaigns.</w:t>
      </w:r>
    </w:p>
    <w:p w14:paraId="4E902B1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contrast to the COI narrative, the IHRA </w:t>
      </w:r>
      <w:hyperlink r:id="rId14" w:history="1">
        <w:r w:rsidRPr="00FD5222">
          <w:rPr>
            <w:rFonts w:ascii="inherit" w:eastAsia="Times New Roman" w:hAnsi="inherit" w:cs="Arial"/>
            <w:color w:val="0000FF"/>
            <w:kern w:val="0"/>
            <w:u w:val="single"/>
            <w:bdr w:val="none" w:sz="0" w:space="0" w:color="auto" w:frame="1"/>
            <w:lang w:bidi="he-IL"/>
            <w14:ligatures w14:val="none"/>
          </w:rPr>
          <w:t>working definition of antisemitism</w:t>
        </w:r>
      </w:hyperlink>
      <w:r w:rsidRPr="00FD5222">
        <w:rPr>
          <w:rFonts w:ascii="inherit" w:eastAsia="Times New Roman" w:hAnsi="inherit" w:cs="Arial"/>
          <w:color w:val="000000"/>
          <w:kern w:val="0"/>
          <w:bdr w:val="none" w:sz="0" w:space="0" w:color="auto" w:frame="1"/>
          <w:lang w:bidi="he-IL"/>
          <w14:ligatures w14:val="none"/>
        </w:rPr>
        <w:t> has been adopted by </w:t>
      </w:r>
      <w:hyperlink r:id="rId15" w:history="1">
        <w:r w:rsidRPr="00FD5222">
          <w:rPr>
            <w:rFonts w:ascii="inherit" w:eastAsia="Times New Roman" w:hAnsi="inherit" w:cs="Arial"/>
            <w:color w:val="0000FF"/>
            <w:kern w:val="0"/>
            <w:u w:val="single"/>
            <w:bdr w:val="none" w:sz="0" w:space="0" w:color="auto" w:frame="1"/>
            <w:lang w:bidi="he-IL"/>
            <w14:ligatures w14:val="none"/>
          </w:rPr>
          <w:t>40 countries </w:t>
        </w:r>
      </w:hyperlink>
      <w:r w:rsidRPr="00FD5222">
        <w:rPr>
          <w:rFonts w:ascii="inherit" w:eastAsia="Times New Roman" w:hAnsi="inherit" w:cs="Arial"/>
          <w:color w:val="000000"/>
          <w:kern w:val="0"/>
          <w:bdr w:val="none" w:sz="0" w:space="0" w:color="auto" w:frame="1"/>
          <w:lang w:bidi="he-IL"/>
          <w14:ligatures w14:val="none"/>
        </w:rPr>
        <w:t>and endorsed by UN officials, the EU Parliament, and other international bodies.      </w:t>
      </w:r>
    </w:p>
    <w:p w14:paraId="0BD2380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his September 2019 </w:t>
      </w:r>
      <w:hyperlink r:id="rId16" w:history="1">
        <w:r w:rsidRPr="00FD5222">
          <w:rPr>
            <w:rFonts w:ascii="inherit" w:eastAsia="Times New Roman" w:hAnsi="inherit" w:cs="Arial"/>
            <w:color w:val="0000FF"/>
            <w:kern w:val="0"/>
            <w:u w:val="single"/>
            <w:bdr w:val="none" w:sz="0" w:space="0" w:color="auto" w:frame="1"/>
            <w:lang w:bidi="he-IL"/>
            <w14:ligatures w14:val="none"/>
          </w:rPr>
          <w:t>report on antisemitism</w:t>
        </w:r>
      </w:hyperlink>
      <w:r w:rsidRPr="00FD5222">
        <w:rPr>
          <w:rFonts w:ascii="inherit" w:eastAsia="Times New Roman" w:hAnsi="inherit" w:cs="Arial"/>
          <w:color w:val="000000"/>
          <w:kern w:val="0"/>
          <w:bdr w:val="none" w:sz="0" w:space="0" w:color="auto" w:frame="1"/>
          <w:lang w:bidi="he-IL"/>
          <w14:ligatures w14:val="none"/>
        </w:rPr>
        <w:t>, UN Special Rapporteur Ahmed Shaheed wrote, “The working definition of antisemitism developed by the International Holocaust Remembrance Alliance can offer valuable guidance for identifying antisemitism in its various forms…the Special Rapporteur recommends its use as a critical non-legal educational tool that should be applied.” </w:t>
      </w:r>
    </w:p>
    <w:p w14:paraId="1ABB0A48"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Likewise, when UN officials disparage IHRA, they are widely condemned. ​​In October 2022, after the Special Rapporteur on contemporary forms of racism, racial discrimination, xenophobia and related intolerance E. Tendayi Achiume </w:t>
      </w:r>
      <w:hyperlink r:id="rId17" w:history="1">
        <w:r w:rsidRPr="00FD5222">
          <w:rPr>
            <w:rFonts w:ascii="inherit" w:eastAsia="Times New Roman" w:hAnsi="inherit" w:cs="Arial"/>
            <w:color w:val="0000FF"/>
            <w:kern w:val="0"/>
            <w:u w:val="single"/>
            <w:bdr w:val="none" w:sz="0" w:space="0" w:color="auto" w:frame="1"/>
            <w:lang w:bidi="he-IL"/>
            <w14:ligatures w14:val="none"/>
          </w:rPr>
          <w:t>attacked the IHRA definition</w:t>
        </w:r>
      </w:hyperlink>
      <w:r w:rsidRPr="00FD5222">
        <w:rPr>
          <w:rFonts w:ascii="inherit" w:eastAsia="Times New Roman" w:hAnsi="inherit" w:cs="Arial"/>
          <w:color w:val="000000"/>
          <w:kern w:val="0"/>
          <w:bdr w:val="none" w:sz="0" w:space="0" w:color="auto" w:frame="1"/>
          <w:lang w:bidi="he-IL"/>
          <w14:ligatures w14:val="none"/>
        </w:rPr>
        <w:t> in a presentation to the General Assembly, dozens of countries, including the United States, Canada, and the European Union spoke out against this maligning of the IHRA definition and strongly rejected her false claims. </w:t>
      </w:r>
    </w:p>
    <w:p w14:paraId="14861B1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 has no mandate to be offering commentary on the IHRA definition. None of the COI members has any expertise on the issue of antisemitism, nor did the COI consult such experts or officials involved in the drafting of the definition. </w:t>
      </w:r>
    </w:p>
    <w:p w14:paraId="77C9036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Most egregiously, each of the commissioners has made antisemitic comments or sought to erase and deny blatant antisemitism within the COI’s ranks. In June 2022, following the COI’s presentation of its first report to the Human Rights Council, one of the Commissioners, Chris Sidoti, </w:t>
      </w:r>
      <w:hyperlink r:id="rId18" w:history="1">
        <w:r w:rsidRPr="00FD5222">
          <w:rPr>
            <w:rFonts w:ascii="inherit" w:eastAsia="Times New Roman" w:hAnsi="inherit" w:cs="Arial"/>
            <w:color w:val="0000FF"/>
            <w:kern w:val="0"/>
            <w:u w:val="single"/>
            <w:bdr w:val="none" w:sz="0" w:space="0" w:color="auto" w:frame="1"/>
            <w:lang w:bidi="he-IL"/>
            <w14:ligatures w14:val="none"/>
          </w:rPr>
          <w:t>dismissed the working definition as “the definition of antisemitism promoted by the government of Israel, and its GONGOS</w:t>
        </w:r>
      </w:hyperlink>
      <w:r w:rsidRPr="00FD5222">
        <w:rPr>
          <w:rFonts w:ascii="inherit" w:eastAsia="Times New Roman" w:hAnsi="inherit" w:cs="Arial"/>
          <w:color w:val="000000"/>
          <w:kern w:val="0"/>
          <w:bdr w:val="none" w:sz="0" w:space="0" w:color="auto" w:frame="1"/>
          <w:lang w:bidi="he-IL"/>
          <w14:ligatures w14:val="none"/>
        </w:rPr>
        <w:t>.” He also contended that “accusations of antisemitism are thrown around like rice at a wedding,” offensively and falsely claiming that such actions “legitimize” antisemitism.</w:t>
      </w:r>
    </w:p>
    <w:p w14:paraId="7594C1B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July 2022, Commissioner </w:t>
      </w:r>
      <w:proofErr w:type="spellStart"/>
      <w:r w:rsidRPr="00FD5222">
        <w:rPr>
          <w:rFonts w:ascii="inherit" w:eastAsia="Times New Roman" w:hAnsi="inherit" w:cs="Arial"/>
          <w:color w:val="000000"/>
          <w:kern w:val="0"/>
          <w:bdr w:val="none" w:sz="0" w:space="0" w:color="auto" w:frame="1"/>
          <w:lang w:bidi="he-IL"/>
          <w14:ligatures w14:val="none"/>
        </w:rPr>
        <w:t>Miloon</w:t>
      </w:r>
      <w:proofErr w:type="spellEnd"/>
      <w:r w:rsidRPr="00FD5222">
        <w:rPr>
          <w:rFonts w:ascii="inherit" w:eastAsia="Times New Roman" w:hAnsi="inherit" w:cs="Arial"/>
          <w:color w:val="000000"/>
          <w:kern w:val="0"/>
          <w:bdr w:val="none" w:sz="0" w:space="0" w:color="auto" w:frame="1"/>
          <w:lang w:bidi="he-IL"/>
          <w14:ligatures w14:val="none"/>
        </w:rPr>
        <w:t xml:space="preserve"> Kothari also made antisemitic comments on a</w:t>
      </w:r>
      <w:hyperlink r:id="rId19" w:history="1">
        <w:r w:rsidRPr="00FD5222">
          <w:rPr>
            <w:rFonts w:ascii="inherit" w:eastAsia="Times New Roman" w:hAnsi="inherit" w:cs="Arial"/>
            <w:color w:val="0000FF"/>
            <w:kern w:val="0"/>
            <w:u w:val="single"/>
            <w:bdr w:val="none" w:sz="0" w:space="0" w:color="auto" w:frame="1"/>
            <w:lang w:bidi="he-IL"/>
            <w14:ligatures w14:val="none"/>
          </w:rPr>
          <w:t> podcast</w:t>
        </w:r>
      </w:hyperlink>
      <w:r w:rsidRPr="00FD5222">
        <w:rPr>
          <w:rFonts w:ascii="inherit" w:eastAsia="Times New Roman" w:hAnsi="inherit" w:cs="Arial"/>
          <w:color w:val="000000"/>
          <w:kern w:val="0"/>
          <w:bdr w:val="none" w:sz="0" w:space="0" w:color="auto" w:frame="1"/>
          <w:lang w:bidi="he-IL"/>
          <w14:ligatures w14:val="none"/>
        </w:rPr>
        <w:t xml:space="preserve">, claiming that the “Jewish lobby” controls social media and questioned whether Israel </w:t>
      </w:r>
      <w:r w:rsidRPr="00FD5222">
        <w:rPr>
          <w:rFonts w:ascii="inherit" w:eastAsia="Times New Roman" w:hAnsi="inherit" w:cs="Arial"/>
          <w:color w:val="000000"/>
          <w:kern w:val="0"/>
          <w:bdr w:val="none" w:sz="0" w:space="0" w:color="auto" w:frame="1"/>
          <w:lang w:bidi="he-IL"/>
          <w14:ligatures w14:val="none"/>
        </w:rPr>
        <w:lastRenderedPageBreak/>
        <w:t>should have UN membership. In a </w:t>
      </w:r>
      <w:hyperlink r:id="rId20" w:history="1">
        <w:r w:rsidRPr="00FD5222">
          <w:rPr>
            <w:rFonts w:ascii="inherit" w:eastAsia="Times New Roman" w:hAnsi="inherit" w:cs="Arial"/>
            <w:color w:val="0000FF"/>
            <w:kern w:val="0"/>
            <w:u w:val="single"/>
            <w:bdr w:val="none" w:sz="0" w:space="0" w:color="auto" w:frame="1"/>
            <w:lang w:bidi="he-IL"/>
            <w14:ligatures w14:val="none"/>
          </w:rPr>
          <w:t>letter to UNHRC President Federico Villegas</w:t>
        </w:r>
      </w:hyperlink>
      <w:r w:rsidRPr="00FD5222">
        <w:rPr>
          <w:rFonts w:ascii="inherit" w:eastAsia="Times New Roman" w:hAnsi="inherit" w:cs="Arial"/>
          <w:color w:val="000000"/>
          <w:kern w:val="0"/>
          <w:bdr w:val="none" w:sz="0" w:space="0" w:color="auto" w:frame="1"/>
          <w:lang w:bidi="he-IL"/>
          <w14:ligatures w14:val="none"/>
        </w:rPr>
        <w:t>, COI commissioner Navi Pillay refused to condemn Kothari’s remarks, stating his comments “have deliberately been taken out of context…[and] deliberately misquoted.” </w:t>
      </w:r>
    </w:p>
    <w:p w14:paraId="66D94D6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Many governments, as well as UN Special Rapporteur Ahmed Shaheed, and HRC President Villegas have condemned these remarks. (Read NGO Monitor’s </w:t>
      </w:r>
      <w:hyperlink r:id="rId21" w:history="1">
        <w:r w:rsidRPr="00FD5222">
          <w:rPr>
            <w:rFonts w:ascii="inherit" w:eastAsia="Times New Roman" w:hAnsi="inherit" w:cs="Arial"/>
            <w:color w:val="0000FF"/>
            <w:kern w:val="0"/>
            <w:u w:val="single"/>
            <w:bdr w:val="none" w:sz="0" w:space="0" w:color="auto" w:frame="1"/>
            <w:lang w:bidi="he-IL"/>
            <w14:ligatures w14:val="none"/>
          </w:rPr>
          <w:t>letter to United Nations Human Rights Council President Federico Villegas calling on him to initiate an assessment of the UNHRC’s Commission of Inquiry on Israel for violations of the mandate and UN codes of conduct</w:t>
        </w:r>
      </w:hyperlink>
      <w:r w:rsidRPr="00FD5222">
        <w:rPr>
          <w:rFonts w:ascii="inherit" w:eastAsia="Times New Roman" w:hAnsi="inherit" w:cs="Arial"/>
          <w:color w:val="000000"/>
          <w:kern w:val="0"/>
          <w:bdr w:val="none" w:sz="0" w:space="0" w:color="auto" w:frame="1"/>
          <w:lang w:bidi="he-IL"/>
          <w14:ligatures w14:val="none"/>
        </w:rPr>
        <w:t> as well as NGO Monitor’s </w:t>
      </w:r>
      <w:hyperlink r:id="rId22" w:history="1">
        <w:r w:rsidRPr="00FD5222">
          <w:rPr>
            <w:rFonts w:ascii="inherit" w:eastAsia="Times New Roman" w:hAnsi="inherit" w:cs="Arial"/>
            <w:color w:val="0000FF"/>
            <w:kern w:val="0"/>
            <w:u w:val="single"/>
            <w:bdr w:val="none" w:sz="0" w:space="0" w:color="auto" w:frame="1"/>
            <w:lang w:bidi="he-IL"/>
            <w14:ligatures w14:val="none"/>
          </w:rPr>
          <w:t>joint letter to the UNHRC President calling for the removal of the Commissioners due to their antisemitic biases</w:t>
        </w:r>
      </w:hyperlink>
      <w:r w:rsidRPr="00FD5222">
        <w:rPr>
          <w:rFonts w:ascii="inherit" w:eastAsia="Times New Roman" w:hAnsi="inherit" w:cs="Arial"/>
          <w:color w:val="000000"/>
          <w:kern w:val="0"/>
          <w:bdr w:val="none" w:sz="0" w:space="0" w:color="auto" w:frame="1"/>
          <w:lang w:bidi="he-IL"/>
          <w14:ligatures w14:val="none"/>
        </w:rPr>
        <w:t>. NGO Monitor has also</w:t>
      </w:r>
      <w:hyperlink r:id="rId23" w:history="1">
        <w:r w:rsidRPr="00FD5222">
          <w:rPr>
            <w:rFonts w:ascii="inherit" w:eastAsia="Times New Roman" w:hAnsi="inherit" w:cs="Arial"/>
            <w:color w:val="0000FF"/>
            <w:kern w:val="0"/>
            <w:u w:val="single"/>
            <w:bdr w:val="none" w:sz="0" w:space="0" w:color="auto" w:frame="1"/>
            <w:lang w:bidi="he-IL"/>
            <w14:ligatures w14:val="none"/>
          </w:rPr>
          <w:t> thoroughly documented</w:t>
        </w:r>
      </w:hyperlink>
      <w:r w:rsidRPr="00FD5222">
        <w:rPr>
          <w:rFonts w:ascii="inherit" w:eastAsia="Times New Roman" w:hAnsi="inherit" w:cs="Arial"/>
          <w:color w:val="000000"/>
          <w:kern w:val="0"/>
          <w:bdr w:val="none" w:sz="0" w:space="0" w:color="auto" w:frame="1"/>
          <w:lang w:bidi="he-IL"/>
          <w14:ligatures w14:val="none"/>
        </w:rPr>
        <w:t> the Commissioners’ prior anti-Israel biases and their links to Palestinian NGOs in</w:t>
      </w:r>
      <w:hyperlink r:id="rId24" w:history="1">
        <w:r w:rsidRPr="00FD5222">
          <w:rPr>
            <w:rFonts w:ascii="inherit" w:eastAsia="Times New Roman" w:hAnsi="inherit" w:cs="Arial"/>
            <w:color w:val="0000FF"/>
            <w:kern w:val="0"/>
            <w:u w:val="single"/>
            <w:bdr w:val="none" w:sz="0" w:space="0" w:color="auto" w:frame="1"/>
            <w:lang w:bidi="he-IL"/>
            <w14:ligatures w14:val="none"/>
          </w:rPr>
          <w:t> detailed reports</w:t>
        </w:r>
      </w:hyperlink>
      <w:r w:rsidRPr="00FD5222">
        <w:rPr>
          <w:rFonts w:ascii="inherit" w:eastAsia="Times New Roman" w:hAnsi="inherit" w:cs="Arial"/>
          <w:color w:val="000000"/>
          <w:kern w:val="0"/>
          <w:bdr w:val="none" w:sz="0" w:space="0" w:color="auto" w:frame="1"/>
          <w:lang w:bidi="he-IL"/>
          <w14:ligatures w14:val="none"/>
        </w:rPr>
        <w:t>.) </w:t>
      </w:r>
    </w:p>
    <w:p w14:paraId="397AFE8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Nevertheless, no punitive action was taken against the COI or its commissioners, and the subsequent October 2022 COI report made no mention of the controversy. As a result, following the presentation of the latter report, many countries, including Albania, Bulgaria, Czech Republic, Federated States of Micronesia, Germany, Guatemala, Hungary, Liberia, Marshall Islands, Palau, Republic of Nauru, and the United States, again condemned the antisemitism exhibited by the Commissioners. Many of these countries also denounced the inaction of the United Nations to repudiate these statements or remove the Commissioners from their positions. </w:t>
      </w:r>
    </w:p>
    <w:p w14:paraId="3E83248F"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Once again, Navi Pillay ignored this glaring criticism, and made several false and dismissive statements in response to the State remarks. Pillay falsely claimed, “This has been dealt fully by the President of the Human Rights Council, who is the proper authority to clear up criticism of the mandate and clear up criticism of those he selected for appointment as commissioners. </w:t>
      </w:r>
      <w:proofErr w:type="gramStart"/>
      <w:r w:rsidRPr="00FD5222">
        <w:rPr>
          <w:rFonts w:ascii="inherit" w:eastAsia="Times New Roman" w:hAnsi="inherit" w:cs="Arial"/>
          <w:color w:val="000000"/>
          <w:kern w:val="0"/>
          <w:bdr w:val="none" w:sz="0" w:space="0" w:color="auto" w:frame="1"/>
          <w:lang w:bidi="he-IL"/>
          <w14:ligatures w14:val="none"/>
        </w:rPr>
        <w:t>So</w:t>
      </w:r>
      <w:proofErr w:type="gramEnd"/>
      <w:r w:rsidRPr="00FD5222">
        <w:rPr>
          <w:rFonts w:ascii="inherit" w:eastAsia="Times New Roman" w:hAnsi="inherit" w:cs="Arial"/>
          <w:color w:val="000000"/>
          <w:kern w:val="0"/>
          <w:bdr w:val="none" w:sz="0" w:space="0" w:color="auto" w:frame="1"/>
          <w:lang w:bidi="he-IL"/>
          <w14:ligatures w14:val="none"/>
        </w:rPr>
        <w:t xml:space="preserve"> I do encourage you to look at the President’s website on that.” To date, the President has taken no action. Pillay also rejected claims of antisemitism, stating that “I’m 81 years old now, and this is a very first time I’ve been accused of antisemitism. In my own country, that will not be received well because everybody knows the role I played, and similarly with the other two commissioners. So let me make absolutely clear, we are not antisemitic.” These remarks represented yet another attempt by Pillay to whitewash the clear antisemitism expressed by the Commissioners and to absolve herself and the COI from taking the necessary concrete steps to address the deep-seated problems.</w:t>
      </w:r>
    </w:p>
    <w:p w14:paraId="481E5F89"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Human Rights Defenders</w:t>
      </w:r>
    </w:p>
    <w:p w14:paraId="5043DF9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lastRenderedPageBreak/>
        <w:t>The Office of the High Commissioner for Human Rights (OHCHR) </w:t>
      </w:r>
      <w:hyperlink r:id="rId25" w:history="1">
        <w:r w:rsidRPr="00FD5222">
          <w:rPr>
            <w:rFonts w:ascii="inherit" w:eastAsia="Times New Roman" w:hAnsi="inherit" w:cs="Arial"/>
            <w:color w:val="0000FF"/>
            <w:kern w:val="0"/>
            <w:u w:val="single"/>
            <w:bdr w:val="none" w:sz="0" w:space="0" w:color="auto" w:frame="1"/>
            <w:lang w:bidi="he-IL"/>
            <w14:ligatures w14:val="none"/>
          </w:rPr>
          <w:t>defines human rights defenders</w:t>
        </w:r>
      </w:hyperlink>
      <w:r w:rsidRPr="00FD5222">
        <w:rPr>
          <w:rFonts w:ascii="inherit" w:eastAsia="Times New Roman" w:hAnsi="inherit" w:cs="Arial"/>
          <w:color w:val="000000"/>
          <w:kern w:val="0"/>
          <w:bdr w:val="none" w:sz="0" w:space="0" w:color="auto" w:frame="1"/>
          <w:lang w:bidi="he-IL"/>
          <w14:ligatures w14:val="none"/>
        </w:rPr>
        <w:t> (HRDs) as “people who, individually or with others, act to promote or protect human rights.” OHCHR explains that individuals must accept the </w:t>
      </w:r>
      <w:r w:rsidRPr="00FD5222">
        <w:rPr>
          <w:rFonts w:ascii="Arial" w:eastAsia="Times New Roman" w:hAnsi="Arial" w:cs="Arial"/>
          <w:b/>
          <w:bCs/>
          <w:color w:val="000000"/>
          <w:kern w:val="0"/>
          <w:lang w:bidi="he-IL"/>
          <w14:ligatures w14:val="none"/>
        </w:rPr>
        <w:t>universality of human rights</w:t>
      </w:r>
      <w:r w:rsidRPr="00FD5222">
        <w:rPr>
          <w:rFonts w:ascii="inherit" w:eastAsia="Times New Roman" w:hAnsi="inherit" w:cs="Arial"/>
          <w:color w:val="000000"/>
          <w:kern w:val="0"/>
          <w:bdr w:val="none" w:sz="0" w:space="0" w:color="auto" w:frame="1"/>
          <w:lang w:bidi="he-IL"/>
          <w14:ligatures w14:val="none"/>
        </w:rPr>
        <w:t> and partake only in </w:t>
      </w:r>
      <w:r w:rsidRPr="00FD5222">
        <w:rPr>
          <w:rFonts w:ascii="Arial" w:eastAsia="Times New Roman" w:hAnsi="Arial" w:cs="Arial"/>
          <w:b/>
          <w:bCs/>
          <w:color w:val="000000"/>
          <w:kern w:val="0"/>
          <w:lang w:bidi="he-IL"/>
          <w14:ligatures w14:val="none"/>
        </w:rPr>
        <w:t>peaceful action </w:t>
      </w:r>
      <w:r w:rsidRPr="00FD5222">
        <w:rPr>
          <w:rFonts w:ascii="inherit" w:eastAsia="Times New Roman" w:hAnsi="inherit" w:cs="Arial"/>
          <w:color w:val="000000"/>
          <w:kern w:val="0"/>
          <w:bdr w:val="none" w:sz="0" w:space="0" w:color="auto" w:frame="1"/>
          <w:lang w:bidi="he-IL"/>
          <w14:ligatures w14:val="none"/>
        </w:rPr>
        <w:t>in order to be considered HRDs. Importantly, according to the definition, an individual may not be considered a human rights defender if he or she denies “some human rights” but claims “to be a human rights defender because he or she is an advocate for others.”  </w:t>
      </w:r>
    </w:p>
    <w:p w14:paraId="56E56F02"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However, the COI identifies specific HRDs, including those involved in violence and linked to internationally-designated terrorist organizations. It also appears that the COI did no investigation of primary source material. Instead, it simply repeated self-serving claims of terrorist operatives.</w:t>
      </w:r>
    </w:p>
    <w:p w14:paraId="3AE080AF"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 xml:space="preserve">Salah </w:t>
      </w:r>
      <w:proofErr w:type="spellStart"/>
      <w:r w:rsidRPr="00FD5222">
        <w:rPr>
          <w:rFonts w:ascii="inherit" w:eastAsia="Times New Roman" w:hAnsi="inherit"/>
          <w:color w:val="363745"/>
          <w:kern w:val="0"/>
          <w:sz w:val="27"/>
          <w:szCs w:val="27"/>
          <w:bdr w:val="none" w:sz="0" w:space="0" w:color="auto" w:frame="1"/>
          <w:lang w:bidi="he-IL"/>
          <w14:ligatures w14:val="none"/>
        </w:rPr>
        <w:t>Hamouri</w:t>
      </w:r>
      <w:proofErr w:type="spellEnd"/>
    </w:p>
    <w:p w14:paraId="51B5951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2005, Salah </w:t>
      </w: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was convicted for plotting the assassination of former Israeli Chief Rabbi Ovadia Yosef. The COI attempts to downplay this episode, laconically referring to one of the preeminent religious figures of the time as “the founder of the Shas party.”</w:t>
      </w:r>
    </w:p>
    <w:p w14:paraId="3E24585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was released in </w:t>
      </w:r>
      <w:hyperlink r:id="rId26" w:history="1">
        <w:r w:rsidRPr="00FD5222">
          <w:rPr>
            <w:rFonts w:ascii="inherit" w:eastAsia="Times New Roman" w:hAnsi="inherit" w:cs="Arial"/>
            <w:color w:val="0000FF"/>
            <w:kern w:val="0"/>
            <w:u w:val="single"/>
            <w:bdr w:val="none" w:sz="0" w:space="0" w:color="auto" w:frame="1"/>
            <w:lang w:bidi="he-IL"/>
            <w14:ligatures w14:val="none"/>
          </w:rPr>
          <w:t>December 2011 as part of a swap of over 1,000 Palestinian prisoners for Israeli soldier Gilad Shalit</w:t>
        </w:r>
      </w:hyperlink>
      <w:r w:rsidRPr="00FD5222">
        <w:rPr>
          <w:rFonts w:ascii="inherit" w:eastAsia="Times New Roman" w:hAnsi="inherit" w:cs="Arial"/>
          <w:color w:val="000000"/>
          <w:kern w:val="0"/>
          <w:bdr w:val="none" w:sz="0" w:space="0" w:color="auto" w:frame="1"/>
          <w:lang w:bidi="he-IL"/>
          <w14:ligatures w14:val="none"/>
        </w:rPr>
        <w:t>. </w:t>
      </w:r>
      <w:hyperlink r:id="rId27" w:history="1">
        <w:r w:rsidRPr="00FD5222">
          <w:rPr>
            <w:rFonts w:ascii="inherit" w:eastAsia="Times New Roman" w:hAnsi="inherit" w:cs="Arial"/>
            <w:color w:val="0000FF"/>
            <w:kern w:val="0"/>
            <w:u w:val="single"/>
            <w:bdr w:val="none" w:sz="0" w:space="0" w:color="auto" w:frame="1"/>
            <w:lang w:bidi="he-IL"/>
            <w14:ligatures w14:val="none"/>
          </w:rPr>
          <w:t>According to the PFLP</w:t>
        </w:r>
      </w:hyperlink>
      <w:r w:rsidRPr="00FD5222">
        <w:rPr>
          <w:rFonts w:ascii="inherit" w:eastAsia="Times New Roman" w:hAnsi="inherit" w:cs="Arial"/>
          <w:color w:val="000000"/>
          <w:kern w:val="0"/>
          <w:bdr w:val="none" w:sz="0" w:space="0" w:color="auto" w:frame="1"/>
          <w:lang w:bidi="he-IL"/>
          <w14:ligatures w14:val="none"/>
        </w:rPr>
        <w:t>, upon his 2011 release in a prisoner exchange between Israel and Palestinian terrorist organizations, </w:t>
      </w: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stated that “there is no option for the Palestinian people except resistance because it is the only way for us to achieve our people’s rights, our freedom, and our self- determination.” </w:t>
      </w:r>
    </w:p>
    <w:p w14:paraId="135DA6B3"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an October 2011 statement, the PFLP referred to </w:t>
      </w:r>
      <w:proofErr w:type="spellStart"/>
      <w:r w:rsidRPr="00FD5222">
        <w:rPr>
          <w:rFonts w:ascii="inherit" w:eastAsia="Times New Roman" w:hAnsi="inherit" w:cs="Arial"/>
          <w:color w:val="000000"/>
          <w:kern w:val="0"/>
          <w:bdr w:val="none" w:sz="0" w:space="0" w:color="auto" w:frame="1"/>
          <w:lang w:bidi="he-IL"/>
          <w14:ligatures w14:val="none"/>
        </w:rPr>
        <w:t>Hammouri</w:t>
      </w:r>
      <w:proofErr w:type="spellEnd"/>
      <w:r w:rsidRPr="00FD5222">
        <w:rPr>
          <w:rFonts w:ascii="inherit" w:eastAsia="Times New Roman" w:hAnsi="inherit" w:cs="Arial"/>
          <w:color w:val="000000"/>
          <w:kern w:val="0"/>
          <w:bdr w:val="none" w:sz="0" w:space="0" w:color="auto" w:frame="1"/>
          <w:lang w:bidi="he-IL"/>
          <w14:ligatures w14:val="none"/>
        </w:rPr>
        <w:t xml:space="preserve"> as a “</w:t>
      </w:r>
      <w:hyperlink r:id="rId28" w:history="1">
        <w:r w:rsidRPr="00FD5222">
          <w:rPr>
            <w:rFonts w:ascii="inherit" w:eastAsia="Times New Roman" w:hAnsi="inherit" w:cs="Arial"/>
            <w:color w:val="0000FF"/>
            <w:kern w:val="0"/>
            <w:u w:val="single"/>
            <w:bdr w:val="none" w:sz="0" w:space="0" w:color="auto" w:frame="1"/>
            <w:lang w:bidi="he-IL"/>
            <w14:ligatures w14:val="none"/>
          </w:rPr>
          <w:t>comrade</w:t>
        </w:r>
      </w:hyperlink>
      <w:r w:rsidRPr="00FD5222">
        <w:rPr>
          <w:rFonts w:ascii="inherit" w:eastAsia="Times New Roman" w:hAnsi="inherit" w:cs="Arial"/>
          <w:color w:val="000000"/>
          <w:kern w:val="0"/>
          <w:bdr w:val="none" w:sz="0" w:space="0" w:color="auto" w:frame="1"/>
          <w:lang w:bidi="he-IL"/>
          <w14:ligatures w14:val="none"/>
        </w:rPr>
        <w:t>,” and in September 2022, the PFLP again </w:t>
      </w:r>
      <w:hyperlink r:id="rId29" w:history="1">
        <w:r w:rsidRPr="00FD5222">
          <w:rPr>
            <w:rFonts w:ascii="inherit" w:eastAsia="Times New Roman" w:hAnsi="inherit" w:cs="Arial"/>
            <w:color w:val="0000FF"/>
            <w:kern w:val="0"/>
            <w:u w:val="single"/>
            <w:bdr w:val="none" w:sz="0" w:space="0" w:color="auto" w:frame="1"/>
            <w:lang w:bidi="he-IL"/>
            <w14:ligatures w14:val="none"/>
          </w:rPr>
          <w:t>identified </w:t>
        </w:r>
        <w:proofErr w:type="spellStart"/>
      </w:hyperlink>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as a group member.</w:t>
      </w:r>
    </w:p>
    <w:p w14:paraId="0AD0D123"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 xml:space="preserve">Mohammed </w:t>
      </w:r>
      <w:proofErr w:type="spellStart"/>
      <w:r w:rsidRPr="00FD5222">
        <w:rPr>
          <w:rFonts w:ascii="inherit" w:eastAsia="Times New Roman" w:hAnsi="inherit"/>
          <w:color w:val="363745"/>
          <w:kern w:val="0"/>
          <w:sz w:val="27"/>
          <w:szCs w:val="27"/>
          <w:bdr w:val="none" w:sz="0" w:space="0" w:color="auto" w:frame="1"/>
          <w:lang w:bidi="he-IL"/>
          <w14:ligatures w14:val="none"/>
        </w:rPr>
        <w:t>el</w:t>
      </w:r>
      <w:proofErr w:type="spellEnd"/>
      <w:r w:rsidRPr="00FD5222">
        <w:rPr>
          <w:rFonts w:ascii="inherit" w:eastAsia="Times New Roman" w:hAnsi="inherit"/>
          <w:color w:val="363745"/>
          <w:kern w:val="0"/>
          <w:sz w:val="27"/>
          <w:szCs w:val="27"/>
          <w:bdr w:val="none" w:sz="0" w:space="0" w:color="auto" w:frame="1"/>
          <w:lang w:bidi="he-IL"/>
          <w14:ligatures w14:val="none"/>
        </w:rPr>
        <w:t>-Halabi</w:t>
      </w:r>
    </w:p>
    <w:p w14:paraId="07F3D05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2016, Israel arrested the director of World Vision operations in Gaza, Mohammed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 accusing him of diverting funds and materials to Hamas.  The COI complained that “His continuing deprivation of liberty clearly constitutes arbitrary detention, given the serious due process violations.”</w:t>
      </w:r>
    </w:p>
    <w:p w14:paraId="2F8D061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June 2022,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 was </w:t>
      </w:r>
      <w:hyperlink r:id="rId30" w:history="1">
        <w:r w:rsidRPr="00FD5222">
          <w:rPr>
            <w:rFonts w:ascii="inherit" w:eastAsia="Times New Roman" w:hAnsi="inherit" w:cs="Arial"/>
            <w:color w:val="0000FF"/>
            <w:kern w:val="0"/>
            <w:u w:val="single"/>
            <w:bdr w:val="none" w:sz="0" w:space="0" w:color="auto" w:frame="1"/>
            <w:lang w:bidi="he-IL"/>
            <w14:ligatures w14:val="none"/>
          </w:rPr>
          <w:t>convicted </w:t>
        </w:r>
      </w:hyperlink>
      <w:r w:rsidRPr="00FD5222">
        <w:rPr>
          <w:rFonts w:ascii="inherit" w:eastAsia="Times New Roman" w:hAnsi="inherit" w:cs="Arial"/>
          <w:color w:val="000000"/>
          <w:kern w:val="0"/>
          <w:bdr w:val="none" w:sz="0" w:space="0" w:color="auto" w:frame="1"/>
          <w:lang w:bidi="he-IL"/>
          <w14:ligatures w14:val="none"/>
        </w:rPr>
        <w:t xml:space="preserve">in </w:t>
      </w:r>
      <w:proofErr w:type="spellStart"/>
      <w:r w:rsidRPr="00FD5222">
        <w:rPr>
          <w:rFonts w:ascii="inherit" w:eastAsia="Times New Roman" w:hAnsi="inherit" w:cs="Arial"/>
          <w:color w:val="000000"/>
          <w:kern w:val="0"/>
          <w:bdr w:val="none" w:sz="0" w:space="0" w:color="auto" w:frame="1"/>
          <w:lang w:bidi="he-IL"/>
          <w14:ligatures w14:val="none"/>
        </w:rPr>
        <w:t>Be’ersheva</w:t>
      </w:r>
      <w:proofErr w:type="spellEnd"/>
      <w:r w:rsidRPr="00FD5222">
        <w:rPr>
          <w:rFonts w:ascii="inherit" w:eastAsia="Times New Roman" w:hAnsi="inherit" w:cs="Arial"/>
          <w:color w:val="000000"/>
          <w:kern w:val="0"/>
          <w:bdr w:val="none" w:sz="0" w:space="0" w:color="auto" w:frame="1"/>
          <w:lang w:bidi="he-IL"/>
          <w14:ligatures w14:val="none"/>
        </w:rPr>
        <w:t xml:space="preserve"> District Court of the following offenses in relation to his diversion of humanitarian aid to Hamas while employed by the NGO World Vision:</w:t>
      </w:r>
    </w:p>
    <w:p w14:paraId="502F10FF"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Contact with a foreign agent</w:t>
      </w:r>
    </w:p>
    <w:p w14:paraId="38ABD769"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Membership in a terror organization: “The defendant took an active and significant part in the activities of Hamas and assisted Hamas over the years in a variety of ways, including transferring monies and equipment that he knew would be used to fund terrorism and assisting terrorists, as detailed in the indictment. The defendant </w:t>
      </w:r>
      <w:r w:rsidRPr="00FD5222">
        <w:rPr>
          <w:rFonts w:ascii="inherit" w:eastAsia="Times New Roman" w:hAnsi="inherit" w:cs="Arial"/>
          <w:color w:val="000000"/>
          <w:kern w:val="0"/>
          <w:bdr w:val="none" w:sz="0" w:space="0" w:color="auto" w:frame="1"/>
          <w:lang w:bidi="he-IL"/>
          <w14:ligatures w14:val="none"/>
        </w:rPr>
        <w:lastRenderedPageBreak/>
        <w:t>even participated in military actions such as marking exit points for tunnel openings on the Israeli side of the Erez Crossing…”</w:t>
      </w:r>
    </w:p>
    <w:p w14:paraId="3373A9A4"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Illegal use of property for terror purposes</w:t>
      </w:r>
    </w:p>
    <w:p w14:paraId="773FD1E4"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Providing information to the enemy</w:t>
      </w:r>
    </w:p>
    <w:p w14:paraId="66640572"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Illegal military training</w:t>
      </w:r>
    </w:p>
    <w:p w14:paraId="2631DCBA" w14:textId="77777777" w:rsidR="00FD5222" w:rsidRPr="00FD5222" w:rsidRDefault="00FD5222" w:rsidP="00FD5222">
      <w:pPr>
        <w:numPr>
          <w:ilvl w:val="0"/>
          <w:numId w:val="2"/>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Possession of weapons and ammunition</w:t>
      </w:r>
    </w:p>
    <w:p w14:paraId="61ED9E24"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Moreover, as revealed in court documents, in 2015, a Gaza-based accountant for World Vision informed his employers that he suspected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 xml:space="preserve">-Halabi of diverting funds to assist Hamas. He was fired and then interrogated by Hamas. Damningly,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 had a copy of the interrogation on his personal computer. </w:t>
      </w:r>
    </w:p>
    <w:p w14:paraId="73D8AB5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 addition, in an attempt to </w:t>
      </w:r>
      <w:proofErr w:type="spellStart"/>
      <w:r w:rsidRPr="00FD5222">
        <w:rPr>
          <w:rFonts w:ascii="inherit" w:eastAsia="Times New Roman" w:hAnsi="inherit" w:cs="Arial"/>
          <w:color w:val="000000"/>
          <w:kern w:val="0"/>
          <w:bdr w:val="none" w:sz="0" w:space="0" w:color="auto" w:frame="1"/>
          <w:lang w:bidi="he-IL"/>
          <w14:ligatures w14:val="none"/>
        </w:rPr>
        <w:t>to</w:t>
      </w:r>
      <w:proofErr w:type="spellEnd"/>
      <w:r w:rsidRPr="00FD5222">
        <w:rPr>
          <w:rFonts w:ascii="inherit" w:eastAsia="Times New Roman" w:hAnsi="inherit" w:cs="Arial"/>
          <w:color w:val="000000"/>
          <w:kern w:val="0"/>
          <w:bdr w:val="none" w:sz="0" w:space="0" w:color="auto" w:frame="1"/>
          <w:lang w:bidi="he-IL"/>
          <w14:ligatures w14:val="none"/>
        </w:rPr>
        <w:t xml:space="preserve"> vindicate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 xml:space="preserve">-Halabi and World Vision and bolster its false narrative of alleged persecution of civil society, the COI cited to an Australian investigation of World Vision, while ignoring detailed public records documenting accounting and other management improprieties by the local World Vision entity.  Crucially absent from the COI’s re-telling is also the fact that the Australian government, one of World Vision’s largest donors, suspended funding to World Vision projects in the West Bank and Gaza following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-Halabi’s arrest.  Furthermore, regarding the investigation, according to </w:t>
      </w:r>
      <w:hyperlink r:id="rId31" w:history="1">
        <w:r w:rsidRPr="00FD5222">
          <w:rPr>
            <w:rFonts w:ascii="inherit" w:eastAsia="Times New Roman" w:hAnsi="inherit" w:cs="Arial"/>
            <w:color w:val="0000FF"/>
            <w:kern w:val="0"/>
            <w:u w:val="single"/>
            <w:bdr w:val="none" w:sz="0" w:space="0" w:color="auto" w:frame="1"/>
            <w:lang w:bidi="he-IL"/>
            <w14:ligatures w14:val="none"/>
          </w:rPr>
          <w:t>then-Australian Ambassador to Israel Dave Sharma</w:t>
        </w:r>
      </w:hyperlink>
      <w:r w:rsidRPr="00FD5222">
        <w:rPr>
          <w:rFonts w:ascii="inherit" w:eastAsia="Times New Roman" w:hAnsi="inherit" w:cs="Arial"/>
          <w:color w:val="000000"/>
          <w:kern w:val="0"/>
          <w:bdr w:val="none" w:sz="0" w:space="0" w:color="auto" w:frame="1"/>
          <w:lang w:bidi="he-IL"/>
          <w14:ligatures w14:val="none"/>
        </w:rPr>
        <w:t>, “the Department of Foreign Affairs and Trade conducted a review of its aid management and found nothing to indicate </w:t>
      </w:r>
      <w:r w:rsidRPr="00FD5222">
        <w:rPr>
          <w:rFonts w:ascii="Arial" w:eastAsia="Times New Roman" w:hAnsi="Arial" w:cs="Arial"/>
          <w:b/>
          <w:bCs/>
          <w:color w:val="000000"/>
          <w:kern w:val="0"/>
          <w:lang w:bidi="he-IL"/>
          <w14:ligatures w14:val="none"/>
        </w:rPr>
        <w:t>any awareness on our part </w:t>
      </w:r>
      <w:r w:rsidRPr="00FD5222">
        <w:rPr>
          <w:rFonts w:ascii="inherit" w:eastAsia="Times New Roman" w:hAnsi="inherit" w:cs="Arial"/>
          <w:color w:val="000000"/>
          <w:kern w:val="0"/>
          <w:bdr w:val="none" w:sz="0" w:space="0" w:color="auto" w:frame="1"/>
          <w:lang w:bidi="he-IL"/>
          <w14:ligatures w14:val="none"/>
        </w:rPr>
        <w:t xml:space="preserve">of </w:t>
      </w:r>
      <w:proofErr w:type="spellStart"/>
      <w:r w:rsidRPr="00FD5222">
        <w:rPr>
          <w:rFonts w:ascii="inherit" w:eastAsia="Times New Roman" w:hAnsi="inherit" w:cs="Arial"/>
          <w:color w:val="000000"/>
          <w:kern w:val="0"/>
          <w:bdr w:val="none" w:sz="0" w:space="0" w:color="auto" w:frame="1"/>
          <w:lang w:bidi="he-IL"/>
          <w14:ligatures w14:val="none"/>
        </w:rPr>
        <w:t>Mr</w:t>
      </w:r>
      <w:proofErr w:type="spellEnd"/>
      <w:r w:rsidRPr="00FD5222">
        <w:rPr>
          <w:rFonts w:ascii="inherit" w:eastAsia="Times New Roman" w:hAnsi="inherit" w:cs="Arial"/>
          <w:color w:val="000000"/>
          <w:kern w:val="0"/>
          <w:bdr w:val="none" w:sz="0" w:space="0" w:color="auto" w:frame="1"/>
          <w:lang w:bidi="he-IL"/>
          <w14:ligatures w14:val="none"/>
        </w:rPr>
        <w:t xml:space="preserve"> El-Halabi’s alleged wrongdoing” (emphasis added). In other words, in contrast to the version proffered by the COI, the investigation narrowly looked at whether the Australian government knew of the aid diversion prior to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-Halabi’s arrest, and did not examine the specifics regarding his alleged activity.</w:t>
      </w:r>
    </w:p>
    <w:p w14:paraId="5A32D1EB"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Also missing from the COI was any reference to a publicly-available audit and related documentation regarding World Vision’s operations in the West Bank and Gaza that revealed substantial evidence of financial misconduct, poor management, and lack of oversight by the NGO, which allowed </w:t>
      </w:r>
      <w:proofErr w:type="spellStart"/>
      <w:r w:rsidRPr="00FD5222">
        <w:rPr>
          <w:rFonts w:ascii="inherit" w:eastAsia="Times New Roman" w:hAnsi="inherit" w:cs="Arial"/>
          <w:color w:val="000000"/>
          <w:kern w:val="0"/>
          <w:bdr w:val="none" w:sz="0" w:space="0" w:color="auto" w:frame="1"/>
          <w:lang w:bidi="he-IL"/>
          <w14:ligatures w14:val="none"/>
        </w:rPr>
        <w:t>el</w:t>
      </w:r>
      <w:proofErr w:type="spellEnd"/>
      <w:r w:rsidRPr="00FD5222">
        <w:rPr>
          <w:rFonts w:ascii="inherit" w:eastAsia="Times New Roman" w:hAnsi="inherit" w:cs="Arial"/>
          <w:color w:val="000000"/>
          <w:kern w:val="0"/>
          <w:bdr w:val="none" w:sz="0" w:space="0" w:color="auto" w:frame="1"/>
          <w:lang w:bidi="he-IL"/>
          <w14:ligatures w14:val="none"/>
        </w:rPr>
        <w:t>-Halabi to divert funds and materials. It appears, therefore, that the COI suppressed (or never bothered looking for) evidence that contradicted its claims, in violation of its obligations as fact-finders.</w:t>
      </w:r>
    </w:p>
    <w:p w14:paraId="6AAC1AFB"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(For more information on the Halabi case, see NGO Monitor’s “</w:t>
      </w:r>
      <w:hyperlink r:id="rId32" w:history="1">
        <w:r w:rsidRPr="00FD5222">
          <w:rPr>
            <w:rFonts w:ascii="inherit" w:eastAsia="Times New Roman" w:hAnsi="inherit" w:cs="Arial"/>
            <w:color w:val="0000FF"/>
            <w:kern w:val="0"/>
            <w:u w:val="single"/>
            <w:bdr w:val="none" w:sz="0" w:space="0" w:color="auto" w:frame="1"/>
            <w:lang w:bidi="he-IL"/>
            <w14:ligatures w14:val="none"/>
          </w:rPr>
          <w:t>Verdict in case of Mohammad El-Halabi/World Vision Diversion of Funds to Hamas</w:t>
        </w:r>
      </w:hyperlink>
      <w:r w:rsidRPr="00FD5222">
        <w:rPr>
          <w:rFonts w:ascii="inherit" w:eastAsia="Times New Roman" w:hAnsi="inherit" w:cs="Arial"/>
          <w:color w:val="000000"/>
          <w:kern w:val="0"/>
          <w:bdr w:val="none" w:sz="0" w:space="0" w:color="auto" w:frame="1"/>
          <w:lang w:bidi="he-IL"/>
          <w14:ligatures w14:val="none"/>
        </w:rPr>
        <w:t>” and “</w:t>
      </w:r>
      <w:hyperlink r:id="rId33" w:history="1">
        <w:r w:rsidRPr="00FD5222">
          <w:rPr>
            <w:rFonts w:ascii="inherit" w:eastAsia="Times New Roman" w:hAnsi="inherit" w:cs="Arial"/>
            <w:color w:val="0000FF"/>
            <w:kern w:val="0"/>
            <w:u w:val="single"/>
            <w:bdr w:val="none" w:sz="0" w:space="0" w:color="auto" w:frame="1"/>
            <w:lang w:bidi="he-IL"/>
            <w14:ligatures w14:val="none"/>
          </w:rPr>
          <w:t>In-depth Audit Says World Vision Totally Incompetent, Funded Hamas</w:t>
        </w:r>
      </w:hyperlink>
      <w:r w:rsidRPr="00FD5222">
        <w:rPr>
          <w:rFonts w:ascii="inherit" w:eastAsia="Times New Roman" w:hAnsi="inherit" w:cs="Arial"/>
          <w:color w:val="000000"/>
          <w:kern w:val="0"/>
          <w:bdr w:val="none" w:sz="0" w:space="0" w:color="auto" w:frame="1"/>
          <w:lang w:bidi="he-IL"/>
          <w14:ligatures w14:val="none"/>
        </w:rPr>
        <w:t>”)</w:t>
      </w:r>
    </w:p>
    <w:p w14:paraId="6793FDA0"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 xml:space="preserve">Nasser </w:t>
      </w:r>
      <w:proofErr w:type="spellStart"/>
      <w:r w:rsidRPr="00FD5222">
        <w:rPr>
          <w:rFonts w:ascii="inherit" w:eastAsia="Times New Roman" w:hAnsi="inherit"/>
          <w:color w:val="363745"/>
          <w:kern w:val="0"/>
          <w:sz w:val="27"/>
          <w:szCs w:val="27"/>
          <w:bdr w:val="none" w:sz="0" w:space="0" w:color="auto" w:frame="1"/>
          <w:lang w:bidi="he-IL"/>
          <w14:ligatures w14:val="none"/>
        </w:rPr>
        <w:t>Nawaja</w:t>
      </w:r>
      <w:proofErr w:type="spellEnd"/>
    </w:p>
    <w:p w14:paraId="3375D94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Without naming him </w:t>
      </w:r>
      <w:proofErr w:type="spellStart"/>
      <w:proofErr w:type="gramStart"/>
      <w:r w:rsidRPr="00FD5222">
        <w:rPr>
          <w:rFonts w:ascii="inherit" w:eastAsia="Times New Roman" w:hAnsi="inherit" w:cs="Arial"/>
          <w:color w:val="000000"/>
          <w:kern w:val="0"/>
          <w:bdr w:val="none" w:sz="0" w:space="0" w:color="auto" w:frame="1"/>
          <w:lang w:bidi="he-IL"/>
          <w14:ligatures w14:val="none"/>
        </w:rPr>
        <w:t>explicitly,the</w:t>
      </w:r>
      <w:proofErr w:type="spellEnd"/>
      <w:proofErr w:type="gramEnd"/>
      <w:r w:rsidRPr="00FD5222">
        <w:rPr>
          <w:rFonts w:ascii="inherit" w:eastAsia="Times New Roman" w:hAnsi="inherit" w:cs="Arial"/>
          <w:color w:val="000000"/>
          <w:kern w:val="0"/>
          <w:bdr w:val="none" w:sz="0" w:space="0" w:color="auto" w:frame="1"/>
          <w:lang w:bidi="he-IL"/>
          <w14:ligatures w14:val="none"/>
        </w:rPr>
        <w:t xml:space="preserve"> COI refers to the arrest of B’Tselem researcher Nasser </w:t>
      </w:r>
      <w:proofErr w:type="spellStart"/>
      <w:r w:rsidRPr="00FD5222">
        <w:rPr>
          <w:rFonts w:ascii="inherit" w:eastAsia="Times New Roman" w:hAnsi="inherit" w:cs="Arial"/>
          <w:color w:val="000000"/>
          <w:kern w:val="0"/>
          <w:bdr w:val="none" w:sz="0" w:space="0" w:color="auto" w:frame="1"/>
          <w:lang w:bidi="he-IL"/>
          <w14:ligatures w14:val="none"/>
        </w:rPr>
        <w:t>Nawaja</w:t>
      </w:r>
      <w:proofErr w:type="spellEnd"/>
      <w:r w:rsidRPr="00FD5222">
        <w:rPr>
          <w:rFonts w:ascii="inherit" w:eastAsia="Times New Roman" w:hAnsi="inherit" w:cs="Arial"/>
          <w:color w:val="000000"/>
          <w:kern w:val="0"/>
          <w:bdr w:val="none" w:sz="0" w:space="0" w:color="auto" w:frame="1"/>
          <w:lang w:bidi="he-IL"/>
          <w14:ligatures w14:val="none"/>
        </w:rPr>
        <w:t xml:space="preserve">, labeling him an HRD.  According to the COI, “In August 2022, ISF arrested a </w:t>
      </w:r>
      <w:r w:rsidRPr="00FD5222">
        <w:rPr>
          <w:rFonts w:ascii="inherit" w:eastAsia="Times New Roman" w:hAnsi="inherit" w:cs="Arial"/>
          <w:color w:val="000000"/>
          <w:kern w:val="0"/>
          <w:bdr w:val="none" w:sz="0" w:space="0" w:color="auto" w:frame="1"/>
          <w:lang w:bidi="he-IL"/>
          <w14:ligatures w14:val="none"/>
        </w:rPr>
        <w:lastRenderedPageBreak/>
        <w:t xml:space="preserve">Palestinian HRD from Khirbet </w:t>
      </w:r>
      <w:proofErr w:type="spellStart"/>
      <w:r w:rsidRPr="00FD5222">
        <w:rPr>
          <w:rFonts w:ascii="inherit" w:eastAsia="Times New Roman" w:hAnsi="inherit" w:cs="Arial"/>
          <w:color w:val="000000"/>
          <w:kern w:val="0"/>
          <w:bdr w:val="none" w:sz="0" w:space="0" w:color="auto" w:frame="1"/>
          <w:lang w:bidi="he-IL"/>
          <w14:ligatures w14:val="none"/>
        </w:rPr>
        <w:t>Susiya</w:t>
      </w:r>
      <w:proofErr w:type="spellEnd"/>
      <w:r w:rsidRPr="00FD5222">
        <w:rPr>
          <w:rFonts w:ascii="inherit" w:eastAsia="Times New Roman" w:hAnsi="inherit" w:cs="Arial"/>
          <w:color w:val="000000"/>
          <w:kern w:val="0"/>
          <w:bdr w:val="none" w:sz="0" w:space="0" w:color="auto" w:frame="1"/>
          <w:lang w:bidi="he-IL"/>
          <w14:ligatures w14:val="none"/>
        </w:rPr>
        <w:t>, questioned him and reportedly accused him of ‘causing all the trouble in the area’, </w:t>
      </w:r>
      <w:r w:rsidRPr="00FD5222">
        <w:rPr>
          <w:rFonts w:ascii="Arial" w:eastAsia="Times New Roman" w:hAnsi="Arial" w:cs="Arial"/>
          <w:b/>
          <w:bCs/>
          <w:color w:val="000000"/>
          <w:kern w:val="0"/>
          <w:lang w:bidi="he-IL"/>
          <w14:ligatures w14:val="none"/>
        </w:rPr>
        <w:t>which he took </w:t>
      </w:r>
      <w:r w:rsidRPr="00FD5222">
        <w:rPr>
          <w:rFonts w:ascii="inherit" w:eastAsia="Times New Roman" w:hAnsi="inherit" w:cs="Arial"/>
          <w:color w:val="000000"/>
          <w:kern w:val="0"/>
          <w:bdr w:val="none" w:sz="0" w:space="0" w:color="auto" w:frame="1"/>
          <w:lang w:bidi="he-IL"/>
          <w14:ligatures w14:val="none"/>
        </w:rPr>
        <w:t>to refer to his human rights work.” (</w:t>
      </w:r>
      <w:proofErr w:type="gramStart"/>
      <w:r w:rsidRPr="00FD5222">
        <w:rPr>
          <w:rFonts w:ascii="inherit" w:eastAsia="Times New Roman" w:hAnsi="inherit" w:cs="Arial"/>
          <w:color w:val="000000"/>
          <w:kern w:val="0"/>
          <w:bdr w:val="none" w:sz="0" w:space="0" w:color="auto" w:frame="1"/>
          <w:lang w:bidi="he-IL"/>
          <w14:ligatures w14:val="none"/>
        </w:rPr>
        <w:t>emphasis</w:t>
      </w:r>
      <w:proofErr w:type="gramEnd"/>
      <w:r w:rsidRPr="00FD5222">
        <w:rPr>
          <w:rFonts w:ascii="inherit" w:eastAsia="Times New Roman" w:hAnsi="inherit" w:cs="Arial"/>
          <w:color w:val="000000"/>
          <w:kern w:val="0"/>
          <w:bdr w:val="none" w:sz="0" w:space="0" w:color="auto" w:frame="1"/>
          <w:lang w:bidi="he-IL"/>
          <w14:ligatures w14:val="none"/>
        </w:rPr>
        <w:t xml:space="preserve"> added)</w:t>
      </w:r>
    </w:p>
    <w:p w14:paraId="4B1DB084"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proofErr w:type="spellStart"/>
      <w:r w:rsidRPr="00FD5222">
        <w:rPr>
          <w:rFonts w:ascii="inherit" w:eastAsia="Times New Roman" w:hAnsi="inherit" w:cs="Arial"/>
          <w:color w:val="000000"/>
          <w:kern w:val="0"/>
          <w:bdr w:val="none" w:sz="0" w:space="0" w:color="auto" w:frame="1"/>
          <w:lang w:bidi="he-IL"/>
          <w14:ligatures w14:val="none"/>
        </w:rPr>
        <w:t>Nawaja</w:t>
      </w:r>
      <w:proofErr w:type="spellEnd"/>
      <w:r w:rsidRPr="00FD5222">
        <w:rPr>
          <w:rFonts w:ascii="inherit" w:eastAsia="Times New Roman" w:hAnsi="inherit" w:cs="Arial"/>
          <w:color w:val="000000"/>
          <w:kern w:val="0"/>
          <w:bdr w:val="none" w:sz="0" w:space="0" w:color="auto" w:frame="1"/>
          <w:lang w:bidi="he-IL"/>
          <w14:ligatures w14:val="none"/>
        </w:rPr>
        <w:t xml:space="preserve"> was arrested by Israeli authorities, indicted for assaulting an Israeli police officer in September 2021.</w:t>
      </w:r>
    </w:p>
    <w:p w14:paraId="4D09A07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Notably, in a </w:t>
      </w:r>
      <w:hyperlink r:id="rId34" w:history="1">
        <w:r w:rsidRPr="00FD5222">
          <w:rPr>
            <w:rFonts w:ascii="inherit" w:eastAsia="Times New Roman" w:hAnsi="inherit" w:cs="Arial"/>
            <w:color w:val="0000FF"/>
            <w:kern w:val="0"/>
            <w:u w:val="single"/>
            <w:bdr w:val="none" w:sz="0" w:space="0" w:color="auto" w:frame="1"/>
            <w:lang w:bidi="he-IL"/>
            <w14:ligatures w14:val="none"/>
          </w:rPr>
          <w:t>January 8, 2015 expose</w:t>
        </w:r>
      </w:hyperlink>
      <w:r w:rsidRPr="00FD5222">
        <w:rPr>
          <w:rFonts w:ascii="inherit" w:eastAsia="Times New Roman" w:hAnsi="inherit" w:cs="Arial"/>
          <w:color w:val="000000"/>
          <w:kern w:val="0"/>
          <w:bdr w:val="none" w:sz="0" w:space="0" w:color="auto" w:frame="1"/>
          <w:lang w:bidi="he-IL"/>
          <w14:ligatures w14:val="none"/>
        </w:rPr>
        <w:t> on an Israeli investigative news program (“</w:t>
      </w:r>
      <w:proofErr w:type="spellStart"/>
      <w:r w:rsidRPr="00FD5222">
        <w:rPr>
          <w:rFonts w:ascii="inherit" w:eastAsia="Times New Roman" w:hAnsi="inherit" w:cs="Arial"/>
          <w:color w:val="000000"/>
          <w:kern w:val="0"/>
          <w:bdr w:val="none" w:sz="0" w:space="0" w:color="auto" w:frame="1"/>
          <w:lang w:bidi="he-IL"/>
          <w14:ligatures w14:val="none"/>
        </w:rPr>
        <w:t>Uvda</w:t>
      </w:r>
      <w:proofErr w:type="spellEnd"/>
      <w:r w:rsidRPr="00FD5222">
        <w:rPr>
          <w:rFonts w:ascii="inherit" w:eastAsia="Times New Roman" w:hAnsi="inherit" w:cs="Arial"/>
          <w:color w:val="000000"/>
          <w:kern w:val="0"/>
          <w:bdr w:val="none" w:sz="0" w:space="0" w:color="auto" w:frame="1"/>
          <w:lang w:bidi="he-IL"/>
          <w14:ligatures w14:val="none"/>
        </w:rPr>
        <w:t xml:space="preserve">”, Channel 2), </w:t>
      </w:r>
      <w:proofErr w:type="spellStart"/>
      <w:r w:rsidRPr="00FD5222">
        <w:rPr>
          <w:rFonts w:ascii="inherit" w:eastAsia="Times New Roman" w:hAnsi="inherit" w:cs="Arial"/>
          <w:color w:val="000000"/>
          <w:kern w:val="0"/>
          <w:bdr w:val="none" w:sz="0" w:space="0" w:color="auto" w:frame="1"/>
          <w:lang w:bidi="he-IL"/>
          <w14:ligatures w14:val="none"/>
        </w:rPr>
        <w:t>Nawaja</w:t>
      </w:r>
      <w:proofErr w:type="spellEnd"/>
      <w:r w:rsidRPr="00FD5222">
        <w:rPr>
          <w:rFonts w:ascii="inherit" w:eastAsia="Times New Roman" w:hAnsi="inherit" w:cs="Arial"/>
          <w:color w:val="000000"/>
          <w:kern w:val="0"/>
          <w:bdr w:val="none" w:sz="0" w:space="0" w:color="auto" w:frame="1"/>
          <w:lang w:bidi="he-IL"/>
          <w14:ligatures w14:val="none"/>
        </w:rPr>
        <w:t xml:space="preserve"> and extremist Israeli activist Ezra Nawi discussed informing the Palestinian Authority security services about a Palestinian man who allegedly intended to sell land to Jews in the West Bank. The sale of Palestinian land to Israelis is punishable by death under Palestinian Authority law, and according to Nawi, suspects are tortured and then killed.</w:t>
      </w:r>
    </w:p>
    <w:p w14:paraId="055E5113"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proofErr w:type="spellStart"/>
      <w:r w:rsidRPr="00FD5222">
        <w:rPr>
          <w:rFonts w:ascii="inherit" w:eastAsia="Times New Roman" w:hAnsi="inherit"/>
          <w:color w:val="363745"/>
          <w:kern w:val="0"/>
          <w:sz w:val="27"/>
          <w:szCs w:val="27"/>
          <w:bdr w:val="none" w:sz="0" w:space="0" w:color="auto" w:frame="1"/>
          <w:lang w:bidi="he-IL"/>
          <w14:ligatures w14:val="none"/>
        </w:rPr>
        <w:t>Massfar</w:t>
      </w:r>
      <w:proofErr w:type="spellEnd"/>
      <w:r w:rsidRPr="00FD5222">
        <w:rPr>
          <w:rFonts w:ascii="inherit" w:eastAsia="Times New Roman" w:hAnsi="inherit"/>
          <w:color w:val="363745"/>
          <w:kern w:val="0"/>
          <w:sz w:val="27"/>
          <w:szCs w:val="27"/>
          <w:bdr w:val="none" w:sz="0" w:space="0" w:color="auto" w:frame="1"/>
          <w:lang w:bidi="he-IL"/>
          <w14:ligatures w14:val="none"/>
        </w:rPr>
        <w:t xml:space="preserve"> Yatta altercation</w:t>
      </w:r>
    </w:p>
    <w:p w14:paraId="0E58F6D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Regarding an altercation between Palestinians and Israelis in </w:t>
      </w:r>
      <w:proofErr w:type="spellStart"/>
      <w:r w:rsidRPr="00FD5222">
        <w:rPr>
          <w:rFonts w:ascii="inherit" w:eastAsia="Times New Roman" w:hAnsi="inherit" w:cs="Arial"/>
          <w:color w:val="000000"/>
          <w:kern w:val="0"/>
          <w:bdr w:val="none" w:sz="0" w:space="0" w:color="auto" w:frame="1"/>
          <w:lang w:bidi="he-IL"/>
          <w14:ligatures w14:val="none"/>
        </w:rPr>
        <w:t>Massfar</w:t>
      </w:r>
      <w:proofErr w:type="spellEnd"/>
      <w:r w:rsidRPr="00FD5222">
        <w:rPr>
          <w:rFonts w:ascii="inherit" w:eastAsia="Times New Roman" w:hAnsi="inherit" w:cs="Arial"/>
          <w:color w:val="000000"/>
          <w:kern w:val="0"/>
          <w:bdr w:val="none" w:sz="0" w:space="0" w:color="auto" w:frame="1"/>
          <w:lang w:bidi="he-IL"/>
          <w14:ligatures w14:val="none"/>
        </w:rPr>
        <w:t xml:space="preserve"> Yatta in the West Bank, the COI writes, “In September 2022, a Palestinian HRD was attacked by five settlers while he was working on his farm in </w:t>
      </w:r>
      <w:proofErr w:type="spellStart"/>
      <w:r w:rsidRPr="00FD5222">
        <w:rPr>
          <w:rFonts w:ascii="inherit" w:eastAsia="Times New Roman" w:hAnsi="inherit" w:cs="Arial"/>
          <w:color w:val="000000"/>
          <w:kern w:val="0"/>
          <w:bdr w:val="none" w:sz="0" w:space="0" w:color="auto" w:frame="1"/>
          <w:lang w:bidi="he-IL"/>
          <w14:ligatures w14:val="none"/>
        </w:rPr>
        <w:t>Massafar</w:t>
      </w:r>
      <w:proofErr w:type="spellEnd"/>
      <w:r w:rsidRPr="00FD5222">
        <w:rPr>
          <w:rFonts w:ascii="inherit" w:eastAsia="Times New Roman" w:hAnsi="inherit" w:cs="Arial"/>
          <w:color w:val="000000"/>
          <w:kern w:val="0"/>
          <w:bdr w:val="none" w:sz="0" w:space="0" w:color="auto" w:frame="1"/>
          <w:lang w:bidi="he-IL"/>
          <w14:ligatures w14:val="none"/>
        </w:rPr>
        <w:t xml:space="preserve"> Yatta. The settlers broke both his arms, while he defended his head with a hoe he was using for farming. While the HRD received treatment for his injuries he was informed of his arrest on suspicion of attempted murder and attacking the settlers and spent 10 days in Ofer Prison. He was later released by a military judge with conditions: payment of bail and barring access to his land for 30 days.”</w:t>
      </w:r>
    </w:p>
    <w:p w14:paraId="0602145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hyperlink r:id="rId35" w:anchor="!/replace" w:history="1">
        <w:r w:rsidRPr="00FD5222">
          <w:rPr>
            <w:rFonts w:ascii="inherit" w:eastAsia="Times New Roman" w:hAnsi="inherit" w:cs="Arial"/>
            <w:color w:val="0000FF"/>
            <w:kern w:val="0"/>
            <w:u w:val="single"/>
            <w:bdr w:val="none" w:sz="0" w:space="0" w:color="auto" w:frame="1"/>
            <w:lang w:bidi="he-IL"/>
            <w14:ligatures w14:val="none"/>
          </w:rPr>
          <w:t>According to an Israeli media account</w:t>
        </w:r>
      </w:hyperlink>
      <w:r w:rsidRPr="00FD5222">
        <w:rPr>
          <w:rFonts w:ascii="inherit" w:eastAsia="Times New Roman" w:hAnsi="inherit" w:cs="Arial"/>
          <w:color w:val="000000"/>
          <w:kern w:val="0"/>
          <w:bdr w:val="none" w:sz="0" w:space="0" w:color="auto" w:frame="1"/>
          <w:lang w:bidi="he-IL"/>
          <w14:ligatures w14:val="none"/>
        </w:rPr>
        <w:t>, an altercation began between two Israeli civilians and approximately 30 Palestinians, during which one of the Palestinians attacked an Israeli with a hoe, critically injuring him, and one of the Israeli civilians fired and lightly wounded one Palestinian.</w:t>
      </w:r>
    </w:p>
    <w:p w14:paraId="18D1E6C1"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addition to this crucial and absent context, it is unclear on what grounds the COI seeks to confer HRD status to this unidentified Palestinian.</w:t>
      </w:r>
    </w:p>
    <w:p w14:paraId="478E3B9A"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Outdated sources</w:t>
      </w:r>
    </w:p>
    <w:p w14:paraId="36915358"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 claims to have “documented dozens of cases of HRDs who had been prosecuted and convicted through the military courts system. The cases share common elements, including intimidation through interrogation, ISF harassment and the use of plea-bargains under duress to obtain convictions without needing to provide sufficiently compelling evidence.”</w:t>
      </w:r>
    </w:p>
    <w:p w14:paraId="00372CF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These assertions are sourced to a 16-year-old and unverified report by the Israeli NGO Yesh Din.</w:t>
      </w:r>
    </w:p>
    <w:p w14:paraId="5FC5AD77"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Surveillance of terror-linked actors</w:t>
      </w:r>
    </w:p>
    <w:p w14:paraId="3D9C99FB"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lastRenderedPageBreak/>
        <w:t>According to the COI, “Israeli authorities are increasingly using surveillance to monitor the activities of HRDs, including planting spyware on mobile phones. In November 2021, the Pegasus spyware of the Israeli NSO group was discovered on the mobile phones of six Palestinian human rights workers.”</w:t>
      </w:r>
    </w:p>
    <w:p w14:paraId="3BCBFBB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According to the </w:t>
      </w:r>
      <w:hyperlink r:id="rId36" w:history="1">
        <w:r w:rsidRPr="00FD5222">
          <w:rPr>
            <w:rFonts w:ascii="inherit" w:eastAsia="Times New Roman" w:hAnsi="inherit" w:cs="Arial"/>
            <w:color w:val="0000FF"/>
            <w:kern w:val="0"/>
            <w:u w:val="single"/>
            <w:bdr w:val="none" w:sz="0" w:space="0" w:color="auto" w:frame="1"/>
            <w:lang w:bidi="he-IL"/>
            <w14:ligatures w14:val="none"/>
          </w:rPr>
          <w:t>Front Line Defenders report</w:t>
        </w:r>
      </w:hyperlink>
      <w:r w:rsidRPr="00FD5222">
        <w:rPr>
          <w:rFonts w:ascii="inherit" w:eastAsia="Times New Roman" w:hAnsi="inherit" w:cs="Arial"/>
          <w:color w:val="000000"/>
          <w:kern w:val="0"/>
          <w:bdr w:val="none" w:sz="0" w:space="0" w:color="auto" w:frame="1"/>
          <w:lang w:bidi="he-IL"/>
          <w14:ligatures w14:val="none"/>
        </w:rPr>
        <w:t>, upon which the </w:t>
      </w:r>
      <w:hyperlink r:id="rId37" w:history="1">
        <w:r w:rsidRPr="00FD5222">
          <w:rPr>
            <w:rFonts w:ascii="inherit" w:eastAsia="Times New Roman" w:hAnsi="inherit" w:cs="Arial"/>
            <w:color w:val="0000FF"/>
            <w:kern w:val="0"/>
            <w:u w:val="single"/>
            <w:bdr w:val="none" w:sz="0" w:space="0" w:color="auto" w:frame="1"/>
            <w:lang w:bidi="he-IL"/>
            <w14:ligatures w14:val="none"/>
          </w:rPr>
          <w:t>COI based its claim</w:t>
        </w:r>
      </w:hyperlink>
      <w:r w:rsidRPr="00FD5222">
        <w:rPr>
          <w:rFonts w:ascii="inherit" w:eastAsia="Times New Roman" w:hAnsi="inherit" w:cs="Arial"/>
          <w:color w:val="000000"/>
          <w:kern w:val="0"/>
          <w:bdr w:val="none" w:sz="0" w:space="0" w:color="auto" w:frame="1"/>
          <w:lang w:bidi="he-IL"/>
          <w14:ligatures w14:val="none"/>
        </w:rPr>
        <w:t xml:space="preserve">, this software was found on devices belonging to members of three NGOs designated as terrorist entities by Israel due to their PFLP ties – Al-Haq, </w:t>
      </w:r>
      <w:proofErr w:type="spellStart"/>
      <w:r w:rsidRPr="00FD5222">
        <w:rPr>
          <w:rFonts w:ascii="inherit" w:eastAsia="Times New Roman" w:hAnsi="inherit" w:cs="Arial"/>
          <w:color w:val="000000"/>
          <w:kern w:val="0"/>
          <w:bdr w:val="none" w:sz="0" w:space="0" w:color="auto" w:frame="1"/>
          <w:lang w:bidi="he-IL"/>
          <w14:ligatures w14:val="none"/>
        </w:rPr>
        <w:t>Addameer</w:t>
      </w:r>
      <w:proofErr w:type="spellEnd"/>
      <w:r w:rsidRPr="00FD5222">
        <w:rPr>
          <w:rFonts w:ascii="inherit" w:eastAsia="Times New Roman" w:hAnsi="inherit" w:cs="Arial"/>
          <w:color w:val="000000"/>
          <w:kern w:val="0"/>
          <w:bdr w:val="none" w:sz="0" w:space="0" w:color="auto" w:frame="1"/>
          <w:lang w:bidi="he-IL"/>
          <w14:ligatures w14:val="none"/>
        </w:rPr>
        <w:t xml:space="preserve">, and Union of Agricultural Work Committees (UAWC) – including Salah </w:t>
      </w: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and Ubai Aboudi.  </w:t>
      </w:r>
    </w:p>
    <w:p w14:paraId="1B83700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Aboudi was </w:t>
      </w:r>
      <w:hyperlink r:id="rId38" w:history="1">
        <w:r w:rsidRPr="00FD5222">
          <w:rPr>
            <w:rFonts w:ascii="inherit" w:eastAsia="Times New Roman" w:hAnsi="inherit" w:cs="Arial"/>
            <w:color w:val="0000FF"/>
            <w:kern w:val="0"/>
            <w:u w:val="single"/>
            <w:bdr w:val="none" w:sz="0" w:space="0" w:color="auto" w:frame="1"/>
            <w:lang w:bidi="he-IL"/>
            <w14:ligatures w14:val="none"/>
          </w:rPr>
          <w:t>convicted of PFLP membership and recruitment</w:t>
        </w:r>
      </w:hyperlink>
      <w:r w:rsidRPr="00FD5222">
        <w:rPr>
          <w:rFonts w:ascii="inherit" w:eastAsia="Times New Roman" w:hAnsi="inherit" w:cs="Arial"/>
          <w:color w:val="000000"/>
          <w:kern w:val="0"/>
          <w:bdr w:val="none" w:sz="0" w:space="0" w:color="auto" w:frame="1"/>
          <w:lang w:bidi="he-IL"/>
          <w14:ligatures w14:val="none"/>
        </w:rPr>
        <w:t> in June 2020, and a </w:t>
      </w:r>
      <w:hyperlink r:id="rId39" w:history="1">
        <w:r w:rsidRPr="00FD5222">
          <w:rPr>
            <w:rFonts w:ascii="inherit" w:eastAsia="Times New Roman" w:hAnsi="inherit" w:cs="Arial"/>
            <w:color w:val="0000FF"/>
            <w:kern w:val="0"/>
            <w:u w:val="single"/>
            <w:bdr w:val="none" w:sz="0" w:space="0" w:color="auto" w:frame="1"/>
            <w:lang w:bidi="he-IL"/>
            <w14:ligatures w14:val="none"/>
          </w:rPr>
          <w:t>2005 Israeli MFA report</w:t>
        </w:r>
      </w:hyperlink>
      <w:r w:rsidRPr="00FD5222">
        <w:rPr>
          <w:rFonts w:ascii="inherit" w:eastAsia="Times New Roman" w:hAnsi="inherit" w:cs="Arial"/>
          <w:color w:val="000000"/>
          <w:kern w:val="0"/>
          <w:bdr w:val="none" w:sz="0" w:space="0" w:color="auto" w:frame="1"/>
          <w:lang w:bidi="he-IL"/>
          <w14:ligatures w14:val="none"/>
        </w:rPr>
        <w:t xml:space="preserve"> identifies him as a member of a cell that “planned to perpetrate a terrorist attack at the IDF Armored Corps Museum at </w:t>
      </w:r>
      <w:proofErr w:type="spellStart"/>
      <w:r w:rsidRPr="00FD5222">
        <w:rPr>
          <w:rFonts w:ascii="inherit" w:eastAsia="Times New Roman" w:hAnsi="inherit" w:cs="Arial"/>
          <w:color w:val="000000"/>
          <w:kern w:val="0"/>
          <w:bdr w:val="none" w:sz="0" w:space="0" w:color="auto" w:frame="1"/>
          <w:lang w:bidi="he-IL"/>
          <w14:ligatures w14:val="none"/>
        </w:rPr>
        <w:t>Latrun</w:t>
      </w:r>
      <w:proofErr w:type="spellEnd"/>
      <w:r w:rsidRPr="00FD5222">
        <w:rPr>
          <w:rFonts w:ascii="inherit" w:eastAsia="Times New Roman" w:hAnsi="inherit" w:cs="Arial"/>
          <w:color w:val="000000"/>
          <w:kern w:val="0"/>
          <w:bdr w:val="none" w:sz="0" w:space="0" w:color="auto" w:frame="1"/>
          <w:lang w:bidi="he-IL"/>
          <w14:ligatures w14:val="none"/>
        </w:rPr>
        <w:t>, using two suicide terrorists and a car bomb.” </w:t>
      </w:r>
    </w:p>
    <w:p w14:paraId="1C6E3F6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Three other individuals whose devices allegedly contained this software were unidentified.</w:t>
      </w:r>
    </w:p>
    <w:p w14:paraId="4C83DB84"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Reprisals against NGO Monitor</w:t>
      </w:r>
    </w:p>
    <w:p w14:paraId="79892327"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Since the launch of the permanent COI in May 2021, it has launched numerous reprisal attacks against NGO Monitor. </w:t>
      </w:r>
    </w:p>
    <w:p w14:paraId="1D1684F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For example, following the presentation of the COI’s initial report in June 2022, COI commissioner Chris Sidoti disparaged the IHRA working definition of antisemitism, claiming – among other statements – that “accusations of antisemitism are thrown around like rice at a wedding” (see above section on IHRA). </w:t>
      </w:r>
    </w:p>
    <w:p w14:paraId="03F7732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NGO Monitor’s Legal Advisor attempted to engage with Sidoti to discuss his </w:t>
      </w:r>
      <w:hyperlink r:id="rId40" w:history="1">
        <w:r w:rsidRPr="00FD5222">
          <w:rPr>
            <w:rFonts w:ascii="inherit" w:eastAsia="Times New Roman" w:hAnsi="inherit" w:cs="Arial"/>
            <w:color w:val="0000FF"/>
            <w:kern w:val="0"/>
            <w:u w:val="single"/>
            <w:bdr w:val="none" w:sz="0" w:space="0" w:color="auto" w:frame="1"/>
            <w:lang w:bidi="he-IL"/>
            <w14:ligatures w14:val="none"/>
          </w:rPr>
          <w:t>highly offensive and inappropriate remarks</w:t>
        </w:r>
      </w:hyperlink>
      <w:r w:rsidRPr="00FD5222">
        <w:rPr>
          <w:rFonts w:ascii="inherit" w:eastAsia="Times New Roman" w:hAnsi="inherit" w:cs="Arial"/>
          <w:color w:val="000000"/>
          <w:kern w:val="0"/>
          <w:bdr w:val="none" w:sz="0" w:space="0" w:color="auto" w:frame="1"/>
          <w:lang w:bidi="he-IL"/>
          <w14:ligatures w14:val="none"/>
        </w:rPr>
        <w:t> and explain why they were inaccurate and hurtful to the Jewish community. Rather than engage substantively, he callously responded, “We’ve heard enough from you today,” in an apparent reference to the scant 90 second oral statement NGO Monitor’s official had made to the Council during the debate.</w:t>
      </w:r>
    </w:p>
    <w:p w14:paraId="4709C2A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NGO Monitor’s </w:t>
      </w:r>
      <w:hyperlink r:id="rId41" w:history="1">
        <w:r w:rsidRPr="00FD5222">
          <w:rPr>
            <w:rFonts w:ascii="inherit" w:eastAsia="Times New Roman" w:hAnsi="inherit" w:cs="Arial"/>
            <w:color w:val="0000FF"/>
            <w:kern w:val="0"/>
            <w:u w:val="single"/>
            <w:bdr w:val="none" w:sz="0" w:space="0" w:color="auto" w:frame="1"/>
            <w:lang w:bidi="he-IL"/>
            <w14:ligatures w14:val="none"/>
          </w:rPr>
          <w:t>attempt</w:t>
        </w:r>
      </w:hyperlink>
      <w:r w:rsidRPr="00FD5222">
        <w:rPr>
          <w:rFonts w:ascii="inherit" w:eastAsia="Times New Roman" w:hAnsi="inherit" w:cs="Arial"/>
          <w:color w:val="000000"/>
          <w:kern w:val="0"/>
          <w:bdr w:val="none" w:sz="0" w:space="0" w:color="auto" w:frame="1"/>
          <w:lang w:bidi="he-IL"/>
          <w14:ligatures w14:val="none"/>
        </w:rPr>
        <w:t> to </w:t>
      </w:r>
      <w:hyperlink r:id="rId42" w:history="1">
        <w:r w:rsidRPr="00FD5222">
          <w:rPr>
            <w:rFonts w:ascii="inherit" w:eastAsia="Times New Roman" w:hAnsi="inherit" w:cs="Arial"/>
            <w:color w:val="0000FF"/>
            <w:kern w:val="0"/>
            <w:u w:val="single"/>
            <w:bdr w:val="none" w:sz="0" w:space="0" w:color="auto" w:frame="1"/>
            <w:lang w:bidi="he-IL"/>
            <w14:ligatures w14:val="none"/>
          </w:rPr>
          <w:t>address</w:t>
        </w:r>
      </w:hyperlink>
      <w:r w:rsidRPr="00FD5222">
        <w:rPr>
          <w:rFonts w:ascii="inherit" w:eastAsia="Times New Roman" w:hAnsi="inherit" w:cs="Arial"/>
          <w:color w:val="000000"/>
          <w:kern w:val="0"/>
          <w:bdr w:val="none" w:sz="0" w:space="0" w:color="auto" w:frame="1"/>
          <w:lang w:bidi="he-IL"/>
          <w14:ligatures w14:val="none"/>
        </w:rPr>
        <w:t xml:space="preserve"> COI commissioner </w:t>
      </w:r>
      <w:proofErr w:type="spellStart"/>
      <w:r w:rsidRPr="00FD5222">
        <w:rPr>
          <w:rFonts w:ascii="inherit" w:eastAsia="Times New Roman" w:hAnsi="inherit" w:cs="Arial"/>
          <w:color w:val="000000"/>
          <w:kern w:val="0"/>
          <w:bdr w:val="none" w:sz="0" w:space="0" w:color="auto" w:frame="1"/>
          <w:lang w:bidi="he-IL"/>
          <w14:ligatures w14:val="none"/>
        </w:rPr>
        <w:t>Miloon</w:t>
      </w:r>
      <w:proofErr w:type="spellEnd"/>
      <w:r w:rsidRPr="00FD5222">
        <w:rPr>
          <w:rFonts w:ascii="inherit" w:eastAsia="Times New Roman" w:hAnsi="inherit" w:cs="Arial"/>
          <w:color w:val="000000"/>
          <w:kern w:val="0"/>
          <w:bdr w:val="none" w:sz="0" w:space="0" w:color="auto" w:frame="1"/>
          <w:lang w:bidi="he-IL"/>
          <w14:ligatures w14:val="none"/>
        </w:rPr>
        <w:t xml:space="preserve"> Kothari’s antisemitic remarks and calling for the UNHRC President to launch an investigation, led to further defamation by the COI.  </w:t>
      </w:r>
    </w:p>
    <w:p w14:paraId="5C7DB44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During COI-convened hearings in Geneva in November 2022, Kothari solicited defamatory comments about NGO Monitor from participants. For example, Kothari asked Israeli lawyer Michael Sfard, representing Al-Haq: “Have you personally looked into this organization </w:t>
      </w:r>
      <w:r w:rsidRPr="00FD5222">
        <w:rPr>
          <w:rFonts w:ascii="inherit" w:eastAsia="Times New Roman" w:hAnsi="inherit" w:cs="Arial"/>
          <w:color w:val="000000"/>
          <w:kern w:val="0"/>
          <w:bdr w:val="none" w:sz="0" w:space="0" w:color="auto" w:frame="1"/>
          <w:lang w:bidi="he-IL"/>
          <w14:ligatures w14:val="none"/>
        </w:rPr>
        <w:lastRenderedPageBreak/>
        <w:t>(NGO Monitor) in terms of their functioning, in terms of their funding? They seem to be behind a lot of what is going wrong.”  </w:t>
      </w:r>
    </w:p>
    <w:p w14:paraId="5D79A3F7"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reprisals are continued in the current COI report, which defames NGO Monitor and accuses us of “</w:t>
      </w:r>
      <w:proofErr w:type="spellStart"/>
      <w:r w:rsidRPr="00FD5222">
        <w:rPr>
          <w:rFonts w:ascii="inherit" w:eastAsia="Times New Roman" w:hAnsi="inherit" w:cs="Arial"/>
          <w:color w:val="000000"/>
          <w:kern w:val="0"/>
          <w:bdr w:val="none" w:sz="0" w:space="0" w:color="auto" w:frame="1"/>
          <w:lang w:bidi="he-IL"/>
          <w14:ligatures w14:val="none"/>
        </w:rPr>
        <w:t>engag</w:t>
      </w:r>
      <w:proofErr w:type="spellEnd"/>
      <w:r w:rsidRPr="00FD5222">
        <w:rPr>
          <w:rFonts w:ascii="inherit" w:eastAsia="Times New Roman" w:hAnsi="inherit" w:cs="Arial"/>
          <w:color w:val="000000"/>
          <w:kern w:val="0"/>
          <w:bdr w:val="none" w:sz="0" w:space="0" w:color="auto" w:frame="1"/>
          <w:lang w:bidi="he-IL"/>
          <w14:ligatures w14:val="none"/>
        </w:rPr>
        <w:t>[</w:t>
      </w:r>
      <w:proofErr w:type="spellStart"/>
      <w:r w:rsidRPr="00FD5222">
        <w:rPr>
          <w:rFonts w:ascii="inherit" w:eastAsia="Times New Roman" w:hAnsi="inherit" w:cs="Arial"/>
          <w:color w:val="000000"/>
          <w:kern w:val="0"/>
          <w:bdr w:val="none" w:sz="0" w:space="0" w:color="auto" w:frame="1"/>
          <w:lang w:bidi="he-IL"/>
          <w14:ligatures w14:val="none"/>
        </w:rPr>
        <w:t>ing</w:t>
      </w:r>
      <w:proofErr w:type="spellEnd"/>
      <w:r w:rsidRPr="00FD5222">
        <w:rPr>
          <w:rFonts w:ascii="inherit" w:eastAsia="Times New Roman" w:hAnsi="inherit" w:cs="Arial"/>
          <w:color w:val="000000"/>
          <w:kern w:val="0"/>
          <w:bdr w:val="none" w:sz="0" w:space="0" w:color="auto" w:frame="1"/>
          <w:lang w:bidi="he-IL"/>
          <w14:ligatures w14:val="none"/>
        </w:rPr>
        <w:t xml:space="preserve">] in well </w:t>
      </w:r>
      <w:proofErr w:type="spellStart"/>
      <w:r w:rsidRPr="00FD5222">
        <w:rPr>
          <w:rFonts w:ascii="inherit" w:eastAsia="Times New Roman" w:hAnsi="inherit" w:cs="Arial"/>
          <w:color w:val="000000"/>
          <w:kern w:val="0"/>
          <w:bdr w:val="none" w:sz="0" w:space="0" w:color="auto" w:frame="1"/>
          <w:lang w:bidi="he-IL"/>
          <w14:ligatures w14:val="none"/>
        </w:rPr>
        <w:t>organised</w:t>
      </w:r>
      <w:proofErr w:type="spellEnd"/>
      <w:r w:rsidRPr="00FD5222">
        <w:rPr>
          <w:rFonts w:ascii="inherit" w:eastAsia="Times New Roman" w:hAnsi="inherit" w:cs="Arial"/>
          <w:color w:val="000000"/>
          <w:kern w:val="0"/>
          <w:bdr w:val="none" w:sz="0" w:space="0" w:color="auto" w:frame="1"/>
          <w:lang w:bidi="he-IL"/>
          <w14:ligatures w14:val="none"/>
        </w:rPr>
        <w:t xml:space="preserve"> smear campaigns against human rights </w:t>
      </w:r>
      <w:proofErr w:type="spellStart"/>
      <w:r w:rsidRPr="00FD5222">
        <w:rPr>
          <w:rFonts w:ascii="inherit" w:eastAsia="Times New Roman" w:hAnsi="inherit" w:cs="Arial"/>
          <w:color w:val="000000"/>
          <w:kern w:val="0"/>
          <w:bdr w:val="none" w:sz="0" w:space="0" w:color="auto" w:frame="1"/>
          <w:lang w:bidi="he-IL"/>
          <w14:ligatures w14:val="none"/>
        </w:rPr>
        <w:t>organisations</w:t>
      </w:r>
      <w:proofErr w:type="spellEnd"/>
      <w:r w:rsidRPr="00FD5222">
        <w:rPr>
          <w:rFonts w:ascii="inherit" w:eastAsia="Times New Roman" w:hAnsi="inherit" w:cs="Arial"/>
          <w:color w:val="000000"/>
          <w:kern w:val="0"/>
          <w:bdr w:val="none" w:sz="0" w:space="0" w:color="auto" w:frame="1"/>
          <w:lang w:bidi="he-IL"/>
          <w14:ligatures w14:val="none"/>
        </w:rPr>
        <w:t xml:space="preserve"> and individuals.” No evidence is provided for these defamatory claims. </w:t>
      </w:r>
    </w:p>
    <w:p w14:paraId="1E941FF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Instead, this language strongly resembles 2022 submissions to the COI by PFLP-linked NGOs Al-Haq, </w:t>
      </w:r>
      <w:proofErr w:type="spellStart"/>
      <w:r w:rsidRPr="00FD5222">
        <w:rPr>
          <w:rFonts w:ascii="inherit" w:eastAsia="Times New Roman" w:hAnsi="inherit" w:cs="Arial"/>
          <w:color w:val="000000"/>
          <w:kern w:val="0"/>
          <w:bdr w:val="none" w:sz="0" w:space="0" w:color="auto" w:frame="1"/>
          <w:lang w:bidi="he-IL"/>
          <w14:ligatures w14:val="none"/>
        </w:rPr>
        <w:t>Addameer</w:t>
      </w:r>
      <w:proofErr w:type="spellEnd"/>
      <w:r w:rsidRPr="00FD5222">
        <w:rPr>
          <w:rFonts w:ascii="inherit" w:eastAsia="Times New Roman" w:hAnsi="inherit" w:cs="Arial"/>
          <w:color w:val="000000"/>
          <w:kern w:val="0"/>
          <w:bdr w:val="none" w:sz="0" w:space="0" w:color="auto" w:frame="1"/>
          <w:lang w:bidi="he-IL"/>
          <w14:ligatures w14:val="none"/>
        </w:rPr>
        <w:t>, Al Mezan, and the Palestinian Center for Human Rights (PCHR), with the COI falsely accusing NGO Monitor of being “right wing,” playing a “key role” in “silencing” civil society, and engaging in “well-organized smear campaigns against human rights organizations and individuals, alongside government actions…” (NGO Monitor is a project of the independent and non-partisan Institute for NGO Research.)</w:t>
      </w:r>
    </w:p>
    <w:p w14:paraId="339AE30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At no point has the COI contacted NGO Monitor to discuss the claims made against us or our research.  Like most of its work, such behavior violates basic investigatory and fact-finding standards as well as UN rules of conduct, and further reflects the COI’s lack of professionalism and inherent bias.  </w:t>
      </w:r>
    </w:p>
    <w:p w14:paraId="58055CE3"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Israeli legislation and policy</w:t>
      </w:r>
    </w:p>
    <w:p w14:paraId="60C9514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 cites a series of Israeli laws and practices that it claims proves undue restrictions on civil society: “Israeli authorities have passed laws to reduce and restrict civil-society activities. These include amendment no.40 to the Budgets Foundations Law 2011 (known as the “Nakba law”), the 2011 Anti-Boycott Law, the 2016 amendment to the Law of Associations, the 2016 Counter-Terrorism Law, and Amendment no.28 of March 2017 of the Entry into Israel Law.”</w:t>
      </w:r>
    </w:p>
    <w:p w14:paraId="263FB7FB"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It also claims “Israeli authorities in the OPT [occupied Palestinian territories] use lengthy or indefinite administrative detention, based on secret evidence, without charge or trial, to punish and restrict HRDs, journalists, students, members of NGOs and people expressing their opinions on social-media.”</w:t>
      </w:r>
    </w:p>
    <w:p w14:paraId="7581F1F2"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COI’s presentation is distorted and incomplete – simply parroting NGO claims without comparative research or meaningful analysis. </w:t>
      </w:r>
    </w:p>
    <w:p w14:paraId="152BC1FC"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Administrative detention</w:t>
      </w:r>
    </w:p>
    <w:p w14:paraId="4ABD97C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COI appears to be referring to  </w:t>
      </w:r>
      <w:hyperlink r:id="rId43" w:anchor="page=17" w:history="1">
        <w:r w:rsidRPr="00FD5222">
          <w:rPr>
            <w:rFonts w:ascii="inherit" w:eastAsia="Times New Roman" w:hAnsi="inherit" w:cs="Arial"/>
            <w:color w:val="0000FF"/>
            <w:kern w:val="0"/>
            <w:u w:val="single"/>
            <w:bdr w:val="none" w:sz="0" w:space="0" w:color="auto" w:frame="1"/>
            <w:lang w:bidi="he-IL"/>
            <w14:ligatures w14:val="none"/>
          </w:rPr>
          <w:t>Samer Arbid</w:t>
        </w:r>
      </w:hyperlink>
      <w:r w:rsidRPr="00FD5222">
        <w:rPr>
          <w:rFonts w:ascii="inherit" w:eastAsia="Times New Roman" w:hAnsi="inherit" w:cs="Arial"/>
          <w:color w:val="000000"/>
          <w:kern w:val="0"/>
          <w:bdr w:val="none" w:sz="0" w:space="0" w:color="auto" w:frame="1"/>
          <w:lang w:bidi="he-IL"/>
          <w14:ligatures w14:val="none"/>
        </w:rPr>
        <w:t> and </w:t>
      </w:r>
      <w:hyperlink r:id="rId44" w:anchor="page=19" w:history="1">
        <w:r w:rsidRPr="00FD5222">
          <w:rPr>
            <w:rFonts w:ascii="inherit" w:eastAsia="Times New Roman" w:hAnsi="inherit" w:cs="Arial"/>
            <w:color w:val="0000FF"/>
            <w:kern w:val="0"/>
            <w:u w:val="single"/>
            <w:bdr w:val="none" w:sz="0" w:space="0" w:color="auto" w:frame="1"/>
            <w:lang w:bidi="he-IL"/>
            <w14:ligatures w14:val="none"/>
          </w:rPr>
          <w:t xml:space="preserve">Walid </w:t>
        </w:r>
        <w:proofErr w:type="spellStart"/>
        <w:r w:rsidRPr="00FD5222">
          <w:rPr>
            <w:rFonts w:ascii="inherit" w:eastAsia="Times New Roman" w:hAnsi="inherit" w:cs="Arial"/>
            <w:color w:val="0000FF"/>
            <w:kern w:val="0"/>
            <w:u w:val="single"/>
            <w:bdr w:val="none" w:sz="0" w:space="0" w:color="auto" w:frame="1"/>
            <w:lang w:bidi="he-IL"/>
            <w14:ligatures w14:val="none"/>
          </w:rPr>
          <w:t>Hanatsheh</w:t>
        </w:r>
        <w:proofErr w:type="spellEnd"/>
      </w:hyperlink>
      <w:r w:rsidRPr="00FD5222">
        <w:rPr>
          <w:rFonts w:ascii="inherit" w:eastAsia="Times New Roman" w:hAnsi="inherit" w:cs="Arial"/>
          <w:color w:val="000000"/>
          <w:kern w:val="0"/>
          <w:bdr w:val="none" w:sz="0" w:space="0" w:color="auto" w:frame="1"/>
          <w:lang w:bidi="he-IL"/>
          <w14:ligatures w14:val="none"/>
        </w:rPr>
        <w:t xml:space="preserve"> – two PFLP operatives indicted by Israel for planning and perpetrating the August 2019 bombing that murdered an Israeli teenager and other acts of terrorism. Both had served previous stints </w:t>
      </w:r>
      <w:r w:rsidRPr="00FD5222">
        <w:rPr>
          <w:rFonts w:ascii="inherit" w:eastAsia="Times New Roman" w:hAnsi="inherit" w:cs="Arial"/>
          <w:color w:val="000000"/>
          <w:kern w:val="0"/>
          <w:bdr w:val="none" w:sz="0" w:space="0" w:color="auto" w:frame="1"/>
          <w:lang w:bidi="he-IL"/>
          <w14:ligatures w14:val="none"/>
        </w:rPr>
        <w:lastRenderedPageBreak/>
        <w:t xml:space="preserve">in administrative detention prior to that attack. Similarly, Salah </w:t>
      </w: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has also been incarcerated in administrative detention (see section on Human Rights Defenders).</w:t>
      </w:r>
    </w:p>
    <w:p w14:paraId="66743562"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The report almost offhandedly asserts that Israel places “people expressing their opinions on social-media” in administrative detention, without providing a source for the claim. Such allegations were made in a 2022 report issued by </w:t>
      </w:r>
      <w:proofErr w:type="spellStart"/>
      <w:r w:rsidRPr="00FD5222">
        <w:rPr>
          <w:rFonts w:ascii="inherit" w:eastAsia="Times New Roman" w:hAnsi="inherit" w:cs="Arial"/>
          <w:color w:val="000000"/>
          <w:kern w:val="0"/>
          <w:bdr w:val="none" w:sz="0" w:space="0" w:color="auto" w:frame="1"/>
          <w:lang w:bidi="he-IL"/>
          <w14:ligatures w14:val="none"/>
        </w:rPr>
        <w:t>Addameer</w:t>
      </w:r>
      <w:proofErr w:type="spellEnd"/>
      <w:r w:rsidRPr="00FD5222">
        <w:rPr>
          <w:rFonts w:ascii="inherit" w:eastAsia="Times New Roman" w:hAnsi="inherit" w:cs="Arial"/>
          <w:color w:val="000000"/>
          <w:kern w:val="0"/>
          <w:bdr w:val="none" w:sz="0" w:space="0" w:color="auto" w:frame="1"/>
          <w:lang w:bidi="he-IL"/>
          <w14:ligatures w14:val="none"/>
        </w:rPr>
        <w:t xml:space="preserve"> and other Palestinian organizations. Notably, Arbid and </w:t>
      </w:r>
      <w:proofErr w:type="spellStart"/>
      <w:r w:rsidRPr="00FD5222">
        <w:rPr>
          <w:rFonts w:ascii="inherit" w:eastAsia="Times New Roman" w:hAnsi="inherit" w:cs="Arial"/>
          <w:color w:val="000000"/>
          <w:kern w:val="0"/>
          <w:bdr w:val="none" w:sz="0" w:space="0" w:color="auto" w:frame="1"/>
          <w:lang w:bidi="he-IL"/>
          <w14:ligatures w14:val="none"/>
        </w:rPr>
        <w:t>Hamouri</w:t>
      </w:r>
      <w:proofErr w:type="spellEnd"/>
      <w:r w:rsidRPr="00FD5222">
        <w:rPr>
          <w:rFonts w:ascii="inherit" w:eastAsia="Times New Roman" w:hAnsi="inherit" w:cs="Arial"/>
          <w:color w:val="000000"/>
          <w:kern w:val="0"/>
          <w:bdr w:val="none" w:sz="0" w:space="0" w:color="auto" w:frame="1"/>
          <w:lang w:bidi="he-IL"/>
          <w14:ligatures w14:val="none"/>
        </w:rPr>
        <w:t xml:space="preserve"> are both former </w:t>
      </w:r>
      <w:proofErr w:type="spellStart"/>
      <w:r w:rsidRPr="00FD5222">
        <w:rPr>
          <w:rFonts w:ascii="inherit" w:eastAsia="Times New Roman" w:hAnsi="inherit" w:cs="Arial"/>
          <w:color w:val="000000"/>
          <w:kern w:val="0"/>
          <w:bdr w:val="none" w:sz="0" w:space="0" w:color="auto" w:frame="1"/>
          <w:lang w:bidi="he-IL"/>
          <w14:ligatures w14:val="none"/>
        </w:rPr>
        <w:t>Addameer</w:t>
      </w:r>
      <w:proofErr w:type="spellEnd"/>
      <w:r w:rsidRPr="00FD5222">
        <w:rPr>
          <w:rFonts w:ascii="inherit" w:eastAsia="Times New Roman" w:hAnsi="inherit" w:cs="Arial"/>
          <w:color w:val="000000"/>
          <w:kern w:val="0"/>
          <w:bdr w:val="none" w:sz="0" w:space="0" w:color="auto" w:frame="1"/>
          <w:lang w:bidi="he-IL"/>
          <w14:ligatures w14:val="none"/>
        </w:rPr>
        <w:t xml:space="preserve"> employees, and the organization is one of the NGOs designated as a terrorist entity by Israel due to its close PFLP ties.</w:t>
      </w:r>
    </w:p>
    <w:p w14:paraId="1330E21F"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More </w:t>
      </w:r>
      <w:proofErr w:type="gramStart"/>
      <w:r w:rsidRPr="00FD5222">
        <w:rPr>
          <w:rFonts w:ascii="inherit" w:eastAsia="Times New Roman" w:hAnsi="inherit" w:cs="Arial"/>
          <w:color w:val="000000"/>
          <w:kern w:val="0"/>
          <w:bdr w:val="none" w:sz="0" w:space="0" w:color="auto" w:frame="1"/>
          <w:lang w:bidi="he-IL"/>
          <w14:ligatures w14:val="none"/>
        </w:rPr>
        <w:t>broadly,  the</w:t>
      </w:r>
      <w:proofErr w:type="gramEnd"/>
      <w:r w:rsidRPr="00FD5222">
        <w:rPr>
          <w:rFonts w:ascii="inherit" w:eastAsia="Times New Roman" w:hAnsi="inherit" w:cs="Arial"/>
          <w:color w:val="000000"/>
          <w:kern w:val="0"/>
          <w:bdr w:val="none" w:sz="0" w:space="0" w:color="auto" w:frame="1"/>
          <w:lang w:bidi="he-IL"/>
          <w14:ligatures w14:val="none"/>
        </w:rPr>
        <w:t xml:space="preserve"> COI refused to consider that administrative detention could be used to combat terrorism and failed to compare Israeli practice to its use by other democratic countries. This, too, reveals the </w:t>
      </w:r>
      <w:proofErr w:type="gramStart"/>
      <w:r w:rsidRPr="00FD5222">
        <w:rPr>
          <w:rFonts w:ascii="inherit" w:eastAsia="Times New Roman" w:hAnsi="inherit" w:cs="Arial"/>
          <w:color w:val="000000"/>
          <w:kern w:val="0"/>
          <w:bdr w:val="none" w:sz="0" w:space="0" w:color="auto" w:frame="1"/>
          <w:lang w:bidi="he-IL"/>
          <w14:ligatures w14:val="none"/>
        </w:rPr>
        <w:t>COI’s  lack</w:t>
      </w:r>
      <w:proofErr w:type="gramEnd"/>
      <w:r w:rsidRPr="00FD5222">
        <w:rPr>
          <w:rFonts w:ascii="inherit" w:eastAsia="Times New Roman" w:hAnsi="inherit" w:cs="Arial"/>
          <w:color w:val="000000"/>
          <w:kern w:val="0"/>
          <w:bdr w:val="none" w:sz="0" w:space="0" w:color="auto" w:frame="1"/>
          <w:lang w:bidi="he-IL"/>
          <w14:ligatures w14:val="none"/>
        </w:rPr>
        <w:t xml:space="preserve"> of expertise and disinterest in professional investigative and fact-finding practices. (See Appendix A for more information regarding Israel’s use of administrative detention)</w:t>
      </w:r>
    </w:p>
    <w:p w14:paraId="555F79DB"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Amendment no.40 to the Budgets Foundations Law (2011)</w:t>
      </w:r>
    </w:p>
    <w:p w14:paraId="4AD2A20C"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“Nakba Law” (officially titled “Amendment No. 40 to the Budgets Foundations Law [2011]”) </w:t>
      </w:r>
      <w:hyperlink r:id="rId45" w:history="1">
        <w:r w:rsidRPr="00FD5222">
          <w:rPr>
            <w:rFonts w:ascii="inherit" w:eastAsia="Times New Roman" w:hAnsi="inherit" w:cs="Arial"/>
            <w:color w:val="0000FF"/>
            <w:kern w:val="0"/>
            <w:u w:val="single"/>
            <w:bdr w:val="none" w:sz="0" w:space="0" w:color="auto" w:frame="1"/>
            <w:lang w:bidi="he-IL"/>
            <w14:ligatures w14:val="none"/>
          </w:rPr>
          <w:t>limits state funding to entities that reject Israel as a “Jewish and democratic state” or commemorate Israeli Independence Day as a day of mourning</w:t>
        </w:r>
      </w:hyperlink>
      <w:r w:rsidRPr="00FD5222">
        <w:rPr>
          <w:rFonts w:ascii="inherit" w:eastAsia="Times New Roman" w:hAnsi="inherit" w:cs="Arial"/>
          <w:color w:val="000000"/>
          <w:kern w:val="0"/>
          <w:bdr w:val="none" w:sz="0" w:space="0" w:color="auto" w:frame="1"/>
          <w:lang w:bidi="he-IL"/>
          <w14:ligatures w14:val="none"/>
        </w:rPr>
        <w:t>. The law does not prevent Israeli citizens or organizations from holding, promoting, or supporting such events.  It does not restrict civil society activity.</w:t>
      </w:r>
    </w:p>
    <w:p w14:paraId="0D9F77E2"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Anti-Boycott Law (2011) </w:t>
      </w:r>
    </w:p>
    <w:p w14:paraId="39C6E48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According to the law, “</w:t>
      </w:r>
      <w:hyperlink r:id="rId46" w:history="1">
        <w:r w:rsidRPr="00FD5222">
          <w:rPr>
            <w:rFonts w:ascii="inherit" w:eastAsia="Times New Roman" w:hAnsi="inherit" w:cs="Arial"/>
            <w:color w:val="0000FF"/>
            <w:kern w:val="0"/>
            <w:u w:val="single"/>
            <w:bdr w:val="none" w:sz="0" w:space="0" w:color="auto" w:frame="1"/>
            <w:lang w:bidi="he-IL"/>
            <w14:ligatures w14:val="none"/>
          </w:rPr>
          <w:t>He who knowingly publicizes a public call for boycotting the State of Israel</w:t>
        </w:r>
      </w:hyperlink>
      <w:r w:rsidRPr="00FD5222">
        <w:rPr>
          <w:rFonts w:ascii="inherit" w:eastAsia="Times New Roman" w:hAnsi="inherit" w:cs="Arial"/>
          <w:color w:val="000000"/>
          <w:kern w:val="0"/>
          <w:bdr w:val="none" w:sz="0" w:space="0" w:color="auto" w:frame="1"/>
          <w:lang w:bidi="he-IL"/>
          <w14:ligatures w14:val="none"/>
        </w:rPr>
        <w:t> [In this law, ‘boycott of the State of Israel’ – deliberate abstention from economic, cultural or academic ties with a person or with another body, only due to their affinity to the State of Israel, its institutions or an area that is under its control, in such a way that may harm him economically, culturally or academically], and according to the content of the call and the circumstances in which it has been publicized there is a reasonable possibility that the call will lead to the imposition of a boycott, and the he who published the call was aware of this possibility, does a civil wrong and civil tort law [new version] will be applied to him.”</w:t>
      </w:r>
    </w:p>
    <w:p w14:paraId="1E3AF20E"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Other countries and legal frameworks make similar efforts to protect business activity from interference.  For example, the </w:t>
      </w:r>
      <w:hyperlink r:id="rId47" w:history="1">
        <w:r w:rsidRPr="00FD5222">
          <w:rPr>
            <w:rFonts w:ascii="inherit" w:eastAsia="Times New Roman" w:hAnsi="inherit" w:cs="Arial"/>
            <w:color w:val="0000FF"/>
            <w:kern w:val="0"/>
            <w:u w:val="single"/>
            <w:bdr w:val="none" w:sz="0" w:space="0" w:color="auto" w:frame="1"/>
            <w:lang w:bidi="he-IL"/>
            <w14:ligatures w14:val="none"/>
          </w:rPr>
          <w:t>U.S. Export Administration Act of 1979</w:t>
        </w:r>
      </w:hyperlink>
      <w:r w:rsidRPr="00FD5222">
        <w:rPr>
          <w:rFonts w:ascii="inherit" w:eastAsia="Times New Roman" w:hAnsi="inherit" w:cs="Arial"/>
          <w:color w:val="000000"/>
          <w:kern w:val="0"/>
          <w:bdr w:val="none" w:sz="0" w:space="0" w:color="auto" w:frame="1"/>
          <w:lang w:bidi="he-IL"/>
          <w14:ligatures w14:val="none"/>
        </w:rPr>
        <w:t> prohibits, </w:t>
      </w:r>
      <w:r w:rsidRPr="00FD5222">
        <w:rPr>
          <w:rFonts w:ascii="inherit" w:eastAsia="Times New Roman" w:hAnsi="inherit" w:cs="Arial"/>
          <w:i/>
          <w:iCs/>
          <w:color w:val="000000"/>
          <w:kern w:val="0"/>
          <w:bdr w:val="none" w:sz="0" w:space="0" w:color="auto" w:frame="1"/>
          <w:lang w:bidi="he-IL"/>
          <w14:ligatures w14:val="none"/>
        </w:rPr>
        <w:t>inter alia</w:t>
      </w:r>
      <w:r w:rsidRPr="00FD5222">
        <w:rPr>
          <w:rFonts w:ascii="inherit" w:eastAsia="Times New Roman" w:hAnsi="inherit" w:cs="Arial"/>
          <w:color w:val="000000"/>
          <w:kern w:val="0"/>
          <w:bdr w:val="none" w:sz="0" w:space="0" w:color="auto" w:frame="1"/>
          <w:lang w:bidi="he-IL"/>
          <w14:ligatures w14:val="none"/>
        </w:rPr>
        <w:t xml:space="preserve">, “Refusing, or requiring any U.S. person to refuse to do business with or in Israel, with any Israeli business concern, or with any national or resident of Israel, or with any other </w:t>
      </w:r>
      <w:r w:rsidRPr="00FD5222">
        <w:rPr>
          <w:rFonts w:ascii="inherit" w:eastAsia="Times New Roman" w:hAnsi="inherit" w:cs="Arial"/>
          <w:color w:val="000000"/>
          <w:kern w:val="0"/>
          <w:bdr w:val="none" w:sz="0" w:space="0" w:color="auto" w:frame="1"/>
          <w:lang w:bidi="he-IL"/>
          <w14:ligatures w14:val="none"/>
        </w:rPr>
        <w:lastRenderedPageBreak/>
        <w:t>person, pursuant to an agreement of, or a request from or on behalf of a boycotting country.”</w:t>
      </w:r>
    </w:p>
    <w:p w14:paraId="5664CE17"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w:t>
      </w:r>
      <w:hyperlink r:id="rId48" w:history="1">
        <w:r w:rsidRPr="00FD5222">
          <w:rPr>
            <w:rFonts w:ascii="inherit" w:eastAsia="Times New Roman" w:hAnsi="inherit" w:cs="Arial"/>
            <w:color w:val="0000FF"/>
            <w:kern w:val="0"/>
            <w:u w:val="single"/>
            <w:bdr w:val="none" w:sz="0" w:space="0" w:color="auto" w:frame="1"/>
            <w:lang w:bidi="he-IL"/>
            <w14:ligatures w14:val="none"/>
          </w:rPr>
          <w:t>France, courts have upheld laws</w:t>
        </w:r>
      </w:hyperlink>
      <w:r w:rsidRPr="00FD5222">
        <w:rPr>
          <w:rFonts w:ascii="inherit" w:eastAsia="Times New Roman" w:hAnsi="inherit" w:cs="Arial"/>
          <w:color w:val="000000"/>
          <w:kern w:val="0"/>
          <w:bdr w:val="none" w:sz="0" w:space="0" w:color="auto" w:frame="1"/>
          <w:lang w:bidi="he-IL"/>
          <w14:ligatures w14:val="none"/>
        </w:rPr>
        <w:t> making anti-Israel boycotts illegal.</w:t>
      </w:r>
    </w:p>
    <w:p w14:paraId="74431B60"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Moreover, legal principles regarding tortious behavior apply legal penalties to those advocating for the breach of contracts between business entities – such as those pressuring artists to cancel concerts, or for companies to cease operations in the country – for discriminatory or other improper purposes.</w:t>
      </w:r>
    </w:p>
    <w:p w14:paraId="4D7E159B"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2016 amendment to the Law of Associations</w:t>
      </w:r>
    </w:p>
    <w:p w14:paraId="790FAC27"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amendment in question does not limit civil society organizations in any way.  The amendment requires organizations that receive a majority of their funding from foreign governmental bodies to report such funding in filings with Israeli authorities, their publications, and communications with government officials. Similar disclosure laws exist in other Western countries, including the United States.</w:t>
      </w:r>
    </w:p>
    <w:p w14:paraId="694C53FE"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2016 Counter-terrorism Law</w:t>
      </w:r>
    </w:p>
    <w:p w14:paraId="303F32FB"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2016 law expands the definition of terrorist organization to include groups that actively support terrorist organizations, including by funding them. Such action is in keeping with UN Security Council resolution 1373, enacted pursuant to Chapter VII of the UN Charter and as such, binding international law.</w:t>
      </w:r>
    </w:p>
    <w:p w14:paraId="03939CC1"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t>2017 amendment of Entry into Israel Law</w:t>
      </w:r>
    </w:p>
    <w:p w14:paraId="50F15C3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2017 amendment denies visas into Israel and permits of residence “if the person, or the organization or body that the person represents, has knowingly publicized a call to boycott the state of Israel, as defined in the 2011 Law to Prevent Harming the State of Israel through Boycott, or has pledged to participate in such a boycott.”</w:t>
      </w:r>
    </w:p>
    <w:p w14:paraId="566BD4D1"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hyperlink r:id="rId49" w:history="1">
        <w:r w:rsidRPr="00FD5222">
          <w:rPr>
            <w:rFonts w:ascii="inherit" w:eastAsia="Times New Roman" w:hAnsi="inherit" w:cs="Arial"/>
            <w:color w:val="0000FF"/>
            <w:kern w:val="0"/>
            <w:u w:val="single"/>
            <w:bdr w:val="none" w:sz="0" w:space="0" w:color="auto" w:frame="1"/>
            <w:lang w:bidi="he-IL"/>
            <w14:ligatures w14:val="none"/>
          </w:rPr>
          <w:t>According to the Israeli Administration of Border Crossings, Population and Immigration</w:t>
        </w:r>
      </w:hyperlink>
      <w:r w:rsidRPr="00FD5222">
        <w:rPr>
          <w:rFonts w:ascii="inherit" w:eastAsia="Times New Roman" w:hAnsi="inherit" w:cs="Arial"/>
          <w:color w:val="000000"/>
          <w:kern w:val="0"/>
          <w:bdr w:val="none" w:sz="0" w:space="0" w:color="auto" w:frame="1"/>
          <w:lang w:bidi="he-IL"/>
          <w14:ligatures w14:val="none"/>
        </w:rPr>
        <w:t xml:space="preserve">, for an organization to be classified as supporting boycotts for purposes of this legislation, it must do so “in a manner which is active and continuous.”  It adds that “the fact that an organization is anti-Israel or pro-Palestinian, or maintains an agenda which is critical of Israeli government </w:t>
      </w:r>
      <w:proofErr w:type="gramStart"/>
      <w:r w:rsidRPr="00FD5222">
        <w:rPr>
          <w:rFonts w:ascii="inherit" w:eastAsia="Times New Roman" w:hAnsi="inherit" w:cs="Arial"/>
          <w:color w:val="000000"/>
          <w:kern w:val="0"/>
          <w:bdr w:val="none" w:sz="0" w:space="0" w:color="auto" w:frame="1"/>
          <w:lang w:bidi="he-IL"/>
          <w14:ligatures w14:val="none"/>
        </w:rPr>
        <w:t>policy,  does</w:t>
      </w:r>
      <w:proofErr w:type="gramEnd"/>
      <w:r w:rsidRPr="00FD5222">
        <w:rPr>
          <w:rFonts w:ascii="inherit" w:eastAsia="Times New Roman" w:hAnsi="inherit" w:cs="Arial"/>
          <w:color w:val="000000"/>
          <w:kern w:val="0"/>
          <w:bdr w:val="none" w:sz="0" w:space="0" w:color="auto" w:frame="1"/>
          <w:lang w:bidi="he-IL"/>
          <w14:ligatures w14:val="none"/>
        </w:rPr>
        <w:t xml:space="preserve"> not represent, in and of itself, justification for denying entry into Israel.” </w:t>
      </w:r>
    </w:p>
    <w:p w14:paraId="01D0352A"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Under international law and practice, every state has an absolute right to control its borders and determine which individuals are entitled to entry.  No country is obligated to grant entry to foreigners seeking to harm it and its citizens.</w:t>
      </w:r>
    </w:p>
    <w:p w14:paraId="2B943A91"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Israeli legislative proposals</w:t>
      </w:r>
    </w:p>
    <w:p w14:paraId="709789E4" w14:textId="77777777" w:rsidR="00FD5222" w:rsidRPr="00FD5222" w:rsidRDefault="00FD5222" w:rsidP="00FD5222">
      <w:pPr>
        <w:spacing w:after="0" w:line="240" w:lineRule="auto"/>
        <w:textAlignment w:val="baseline"/>
        <w:outlineLvl w:val="2"/>
        <w:rPr>
          <w:rFonts w:ascii="futura_hv" w:eastAsia="Times New Roman" w:hAnsi="futura_hv"/>
          <w:b/>
          <w:bCs/>
          <w:color w:val="363745"/>
          <w:kern w:val="0"/>
          <w:sz w:val="27"/>
          <w:szCs w:val="27"/>
          <w:lang w:bidi="he-IL"/>
          <w14:ligatures w14:val="none"/>
        </w:rPr>
      </w:pPr>
      <w:r w:rsidRPr="00FD5222">
        <w:rPr>
          <w:rFonts w:ascii="inherit" w:eastAsia="Times New Roman" w:hAnsi="inherit"/>
          <w:color w:val="363745"/>
          <w:kern w:val="0"/>
          <w:sz w:val="27"/>
          <w:szCs w:val="27"/>
          <w:bdr w:val="none" w:sz="0" w:space="0" w:color="auto" w:frame="1"/>
          <w:lang w:bidi="he-IL"/>
          <w14:ligatures w14:val="none"/>
        </w:rPr>
        <w:lastRenderedPageBreak/>
        <w:t>Private member bills</w:t>
      </w:r>
    </w:p>
    <w:p w14:paraId="0091F009"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 xml:space="preserve">The COI claims that “The Government is also considering several other bills that could negatively affect civil-society. They include a bill to impose a tax rate of 65 percent on the income of associations receiving support from ‘foreign governmental entities’, a bill to require foreign-funded associations to state that they are supported by foreign governmental entities in every petition submitted to the High Court of Justice, a bill forbidding waving in public the flag of an enemy country, a terror </w:t>
      </w:r>
      <w:proofErr w:type="spellStart"/>
      <w:r w:rsidRPr="00FD5222">
        <w:rPr>
          <w:rFonts w:ascii="inherit" w:eastAsia="Times New Roman" w:hAnsi="inherit" w:cs="Arial"/>
          <w:color w:val="000000"/>
          <w:kern w:val="0"/>
          <w:bdr w:val="none" w:sz="0" w:space="0" w:color="auto" w:frame="1"/>
          <w:lang w:bidi="he-IL"/>
          <w14:ligatures w14:val="none"/>
        </w:rPr>
        <w:t>organisation</w:t>
      </w:r>
      <w:proofErr w:type="spellEnd"/>
      <w:r w:rsidRPr="00FD5222">
        <w:rPr>
          <w:rFonts w:ascii="inherit" w:eastAsia="Times New Roman" w:hAnsi="inherit" w:cs="Arial"/>
          <w:color w:val="000000"/>
          <w:kern w:val="0"/>
          <w:bdr w:val="none" w:sz="0" w:space="0" w:color="auto" w:frame="1"/>
          <w:lang w:bidi="he-IL"/>
          <w14:ligatures w14:val="none"/>
        </w:rPr>
        <w:t xml:space="preserve"> or the Palestinian Authority (PA), and a bill forbidding the filming of soldiers on duty.”</w:t>
      </w:r>
    </w:p>
    <w:p w14:paraId="79B234A6"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bills in question are all private member bills, not government-backed bills.  None have advanced to a first-reading.  Notably, on the dates in which they were introduced in the Knesset, between 100-130 additional private member bills were introduced, highlighting the fact that Members of Knesset introduce bills at a staggering rate, the majority of which are never seriously considered, let alone adopted.</w:t>
      </w:r>
    </w:p>
    <w:p w14:paraId="449ACB07"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Moreover, on May 27, the </w:t>
      </w:r>
      <w:hyperlink r:id="rId50" w:history="1">
        <w:r w:rsidRPr="00FD5222">
          <w:rPr>
            <w:rFonts w:ascii="inherit" w:eastAsia="Times New Roman" w:hAnsi="inherit" w:cs="Arial"/>
            <w:color w:val="0000FF"/>
            <w:kern w:val="0"/>
            <w:u w:val="single"/>
            <w:bdr w:val="none" w:sz="0" w:space="0" w:color="auto" w:frame="1"/>
            <w:lang w:bidi="he-IL"/>
            <w14:ligatures w14:val="none"/>
          </w:rPr>
          <w:t>government announced that it was shelving the bill </w:t>
        </w:r>
      </w:hyperlink>
      <w:r w:rsidRPr="00FD5222">
        <w:rPr>
          <w:rFonts w:ascii="inherit" w:eastAsia="Times New Roman" w:hAnsi="inherit" w:cs="Arial"/>
          <w:color w:val="000000"/>
          <w:kern w:val="0"/>
          <w:bdr w:val="none" w:sz="0" w:space="0" w:color="auto" w:frame="1"/>
          <w:lang w:bidi="he-IL"/>
          <w14:ligatures w14:val="none"/>
        </w:rPr>
        <w:t>taxing funds from foreign governmental entities.</w:t>
      </w:r>
    </w:p>
    <w:p w14:paraId="016BA131" w14:textId="77777777" w:rsidR="00FD5222" w:rsidRPr="00FD5222" w:rsidRDefault="00FD5222" w:rsidP="00FD5222">
      <w:pPr>
        <w:spacing w:after="210" w:line="240" w:lineRule="auto"/>
        <w:textAlignment w:val="baseline"/>
        <w:outlineLvl w:val="1"/>
        <w:rPr>
          <w:rFonts w:eastAsia="Times New Roman"/>
          <w:b/>
          <w:bCs/>
          <w:color w:val="223983"/>
          <w:kern w:val="0"/>
          <w:sz w:val="42"/>
          <w:szCs w:val="42"/>
          <w:lang w:bidi="he-IL"/>
          <w14:ligatures w14:val="none"/>
        </w:rPr>
      </w:pPr>
      <w:r w:rsidRPr="00FD5222">
        <w:rPr>
          <w:rFonts w:eastAsia="Times New Roman"/>
          <w:b/>
          <w:bCs/>
          <w:color w:val="223983"/>
          <w:kern w:val="0"/>
          <w:sz w:val="42"/>
          <w:szCs w:val="42"/>
          <w:lang w:bidi="he-IL"/>
          <w14:ligatures w14:val="none"/>
        </w:rPr>
        <w:t>Appendix A – Administrative Detention</w:t>
      </w:r>
    </w:p>
    <w:p w14:paraId="19137985" w14:textId="77777777" w:rsidR="00FD5222" w:rsidRPr="00FD5222" w:rsidRDefault="00FD5222" w:rsidP="00FD5222">
      <w:pPr>
        <w:spacing w:after="0" w:line="384" w:lineRule="atLeast"/>
        <w:textAlignment w:val="baseline"/>
        <w:rPr>
          <w:rFonts w:ascii="Arial" w:eastAsia="Times New Roman" w:hAnsi="Arial"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December 2021, Israel submitted information in the context of its 6th periodic review by the UN’s Committee Against Torture (CAT).  </w:t>
      </w:r>
      <w:hyperlink r:id="rId51" w:anchor="page=7" w:history="1">
        <w:r w:rsidRPr="00FD5222">
          <w:rPr>
            <w:rFonts w:ascii="inherit" w:eastAsia="Times New Roman" w:hAnsi="inherit" w:cs="Arial"/>
            <w:color w:val="0000FF"/>
            <w:kern w:val="0"/>
            <w:u w:val="single"/>
            <w:bdr w:val="none" w:sz="0" w:space="0" w:color="auto" w:frame="1"/>
            <w:lang w:bidi="he-IL"/>
            <w14:ligatures w14:val="none"/>
          </w:rPr>
          <w:t>The following paragraphs of that submission </w:t>
        </w:r>
      </w:hyperlink>
      <w:r w:rsidRPr="00FD5222">
        <w:rPr>
          <w:rFonts w:ascii="inherit" w:eastAsia="Times New Roman" w:hAnsi="inherit" w:cs="Arial"/>
          <w:color w:val="000000"/>
          <w:kern w:val="0"/>
          <w:bdr w:val="none" w:sz="0" w:space="0" w:color="auto" w:frame="1"/>
          <w:lang w:bidi="he-IL"/>
          <w14:ligatures w14:val="none"/>
        </w:rPr>
        <w:t>relate to administrative detention:</w:t>
      </w:r>
    </w:p>
    <w:p w14:paraId="1B2996F2"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Administrative detention is an exceptional measure, applied only where there is clear, concrete and trustworthy evidence that an individual is engaged in acts that endanger the security of the state or human life. It is always used only as a preventative measure of last resort, where the security risk cannot be addressed by other legal means, such as criminal prosecution.</w:t>
      </w:r>
    </w:p>
    <w:p w14:paraId="259086AA"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The legal basis for administrative detentions in Israel is the Emergency Authorities (Detention) Law 5739-1979. This instrument is designed primarily as a domestic security measure, which typically applies to individuals posing a severe threat to state security, and accords the Minister of Defense the authority to issue such warrants.</w:t>
      </w:r>
    </w:p>
    <w:p w14:paraId="348AE131"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In addition, the respective local legislation in the West Bank grants all relevant security detainees the right to appeal the order to the Military Court of Appeals, for judicial review. Petitioners may be represented by counsel of their choice at every stage of these proceedings and have a right to examine the unclassified evidence against them. All individuals have the additional right to petition the HCJ for a repeal of the order. The judicial organs reviewing each and every order carefully examine whether the criteria outlined in case law and legislation are fully met.</w:t>
      </w:r>
    </w:p>
    <w:p w14:paraId="4EEDE430"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Detainees are given an explanation of the grounds for the administrative order and have a right to examine the unclassified evidence against them.</w:t>
      </w:r>
    </w:p>
    <w:p w14:paraId="1757DD4B"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lastRenderedPageBreak/>
        <w:t>An administrative detention order is limited to a period of six (6) months and its extension requires the reevaluation of the relevant intelligence and enables further judicial review and appeal.</w:t>
      </w:r>
    </w:p>
    <w:p w14:paraId="20D14BEE"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Issuance of administrative detention orders against detainees who pose a danger to public security in the West Bank, in those cases outlined above, is recognized by international law and is in full conformity with Article 78 of the Fourth Geneva Convention 1949.</w:t>
      </w:r>
    </w:p>
    <w:p w14:paraId="185AC075" w14:textId="77777777" w:rsidR="00FD5222" w:rsidRPr="00FD5222" w:rsidRDefault="00FD5222" w:rsidP="00FD5222">
      <w:pPr>
        <w:numPr>
          <w:ilvl w:val="0"/>
          <w:numId w:val="3"/>
        </w:numPr>
        <w:spacing w:after="0" w:line="240" w:lineRule="auto"/>
        <w:textAlignment w:val="baseline"/>
        <w:rPr>
          <w:rFonts w:ascii="inherit" w:eastAsia="Times New Roman" w:hAnsi="inherit" w:cs="Arial"/>
          <w:color w:val="000000"/>
          <w:kern w:val="0"/>
          <w:lang w:bidi="he-IL"/>
          <w14:ligatures w14:val="none"/>
        </w:rPr>
      </w:pPr>
      <w:r w:rsidRPr="00FD5222">
        <w:rPr>
          <w:rFonts w:ascii="inherit" w:eastAsia="Times New Roman" w:hAnsi="inherit" w:cs="Arial"/>
          <w:color w:val="000000"/>
          <w:kern w:val="0"/>
          <w:bdr w:val="none" w:sz="0" w:space="0" w:color="auto" w:frame="1"/>
          <w:lang w:bidi="he-IL"/>
          <w14:ligatures w14:val="none"/>
        </w:rPr>
        <w:t>Between the end of 2016 and August 2018, the number of Palestinian administrative detainees has dropped by 37%.</w:t>
      </w:r>
    </w:p>
    <w:p w14:paraId="275FF057"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futura_hv">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1E9E"/>
    <w:multiLevelType w:val="multilevel"/>
    <w:tmpl w:val="AFEC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97331"/>
    <w:multiLevelType w:val="multilevel"/>
    <w:tmpl w:val="BAC8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7246F"/>
    <w:multiLevelType w:val="multilevel"/>
    <w:tmpl w:val="FBDE259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1724742">
    <w:abstractNumId w:val="0"/>
  </w:num>
  <w:num w:numId="2" w16cid:durableId="1336496963">
    <w:abstractNumId w:val="1"/>
  </w:num>
  <w:num w:numId="3" w16cid:durableId="188570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22"/>
    <w:rsid w:val="00121B4F"/>
    <w:rsid w:val="00FD52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9D4B"/>
  <w15:chartTrackingRefBased/>
  <w15:docId w15:val="{FA40A66B-700C-4203-A878-4A3DEA71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222"/>
    <w:pPr>
      <w:spacing w:before="100" w:beforeAutospacing="1" w:after="100" w:afterAutospacing="1" w:line="240" w:lineRule="auto"/>
      <w:outlineLvl w:val="0"/>
    </w:pPr>
    <w:rPr>
      <w:rFonts w:eastAsia="Times New Roman"/>
      <w:b/>
      <w:bCs/>
      <w:kern w:val="36"/>
      <w:sz w:val="48"/>
      <w:szCs w:val="48"/>
      <w:lang w:bidi="he-IL"/>
      <w14:ligatures w14:val="none"/>
    </w:rPr>
  </w:style>
  <w:style w:type="paragraph" w:styleId="Heading2">
    <w:name w:val="heading 2"/>
    <w:basedOn w:val="Normal"/>
    <w:link w:val="Heading2Char"/>
    <w:uiPriority w:val="9"/>
    <w:qFormat/>
    <w:rsid w:val="00FD5222"/>
    <w:pPr>
      <w:spacing w:before="100" w:beforeAutospacing="1" w:after="100" w:afterAutospacing="1" w:line="240" w:lineRule="auto"/>
      <w:outlineLvl w:val="1"/>
    </w:pPr>
    <w:rPr>
      <w:rFonts w:eastAsia="Times New Roman"/>
      <w:b/>
      <w:bCs/>
      <w:kern w:val="0"/>
      <w:sz w:val="36"/>
      <w:szCs w:val="36"/>
      <w:lang w:bidi="he-IL"/>
      <w14:ligatures w14:val="none"/>
    </w:rPr>
  </w:style>
  <w:style w:type="paragraph" w:styleId="Heading3">
    <w:name w:val="heading 3"/>
    <w:basedOn w:val="Normal"/>
    <w:link w:val="Heading3Char"/>
    <w:uiPriority w:val="9"/>
    <w:qFormat/>
    <w:rsid w:val="00FD5222"/>
    <w:pPr>
      <w:spacing w:before="100" w:beforeAutospacing="1" w:after="100" w:afterAutospacing="1" w:line="240" w:lineRule="auto"/>
      <w:outlineLvl w:val="2"/>
    </w:pPr>
    <w:rPr>
      <w:rFonts w:eastAsia="Times New Roman"/>
      <w:b/>
      <w:bCs/>
      <w:kern w:val="0"/>
      <w:sz w:val="27"/>
      <w:szCs w:val="27"/>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222"/>
    <w:rPr>
      <w:rFonts w:eastAsia="Times New Roman"/>
      <w:b/>
      <w:bCs/>
      <w:kern w:val="36"/>
      <w:sz w:val="48"/>
      <w:szCs w:val="48"/>
      <w:lang w:bidi="he-IL"/>
      <w14:ligatures w14:val="none"/>
    </w:rPr>
  </w:style>
  <w:style w:type="character" w:customStyle="1" w:styleId="Heading2Char">
    <w:name w:val="Heading 2 Char"/>
    <w:basedOn w:val="DefaultParagraphFont"/>
    <w:link w:val="Heading2"/>
    <w:uiPriority w:val="9"/>
    <w:rsid w:val="00FD5222"/>
    <w:rPr>
      <w:rFonts w:eastAsia="Times New Roman"/>
      <w:b/>
      <w:bCs/>
      <w:kern w:val="0"/>
      <w:sz w:val="36"/>
      <w:szCs w:val="36"/>
      <w:lang w:bidi="he-IL"/>
      <w14:ligatures w14:val="none"/>
    </w:rPr>
  </w:style>
  <w:style w:type="character" w:customStyle="1" w:styleId="Heading3Char">
    <w:name w:val="Heading 3 Char"/>
    <w:basedOn w:val="DefaultParagraphFont"/>
    <w:link w:val="Heading3"/>
    <w:uiPriority w:val="9"/>
    <w:rsid w:val="00FD5222"/>
    <w:rPr>
      <w:rFonts w:eastAsia="Times New Roman"/>
      <w:b/>
      <w:bCs/>
      <w:kern w:val="0"/>
      <w:sz w:val="27"/>
      <w:szCs w:val="27"/>
      <w:lang w:bidi="he-IL"/>
      <w14:ligatures w14:val="none"/>
    </w:rPr>
  </w:style>
  <w:style w:type="character" w:customStyle="1" w:styleId="date-published">
    <w:name w:val="date-published"/>
    <w:basedOn w:val="DefaultParagraphFont"/>
    <w:rsid w:val="00FD5222"/>
  </w:style>
  <w:style w:type="character" w:customStyle="1" w:styleId="date-modified">
    <w:name w:val="date-modified"/>
    <w:basedOn w:val="DefaultParagraphFont"/>
    <w:rsid w:val="00FD5222"/>
  </w:style>
  <w:style w:type="paragraph" w:styleId="NormalWeb">
    <w:name w:val="Normal (Web)"/>
    <w:basedOn w:val="Normal"/>
    <w:uiPriority w:val="99"/>
    <w:semiHidden/>
    <w:unhideWhenUsed/>
    <w:rsid w:val="00FD5222"/>
    <w:pPr>
      <w:spacing w:before="100" w:beforeAutospacing="1" w:after="100" w:afterAutospacing="1" w:line="240" w:lineRule="auto"/>
    </w:pPr>
    <w:rPr>
      <w:rFonts w:eastAsia="Times New Roman"/>
      <w:kern w:val="0"/>
      <w:lang w:bidi="he-IL"/>
      <w14:ligatures w14:val="none"/>
    </w:rPr>
  </w:style>
  <w:style w:type="character" w:styleId="Hyperlink">
    <w:name w:val="Hyperlink"/>
    <w:basedOn w:val="DefaultParagraphFont"/>
    <w:uiPriority w:val="99"/>
    <w:unhideWhenUsed/>
    <w:rsid w:val="00FD5222"/>
    <w:rPr>
      <w:color w:val="0000FF"/>
      <w:u w:val="single"/>
    </w:rPr>
  </w:style>
  <w:style w:type="character" w:styleId="UnresolvedMention">
    <w:name w:val="Unresolved Mention"/>
    <w:basedOn w:val="DefaultParagraphFont"/>
    <w:uiPriority w:val="99"/>
    <w:semiHidden/>
    <w:unhideWhenUsed/>
    <w:rsid w:val="00FD5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25911">
      <w:bodyDiv w:val="1"/>
      <w:marLeft w:val="0"/>
      <w:marRight w:val="0"/>
      <w:marTop w:val="0"/>
      <w:marBottom w:val="0"/>
      <w:divBdr>
        <w:top w:val="none" w:sz="0" w:space="0" w:color="auto"/>
        <w:left w:val="none" w:sz="0" w:space="0" w:color="auto"/>
        <w:bottom w:val="none" w:sz="0" w:space="0" w:color="auto"/>
        <w:right w:val="none" w:sz="0" w:space="0" w:color="auto"/>
      </w:divBdr>
      <w:divsChild>
        <w:div w:id="2142071810">
          <w:marLeft w:val="0"/>
          <w:marRight w:val="0"/>
          <w:marTop w:val="0"/>
          <w:marBottom w:val="0"/>
          <w:divBdr>
            <w:top w:val="none" w:sz="0" w:space="0" w:color="auto"/>
            <w:left w:val="none" w:sz="0" w:space="0" w:color="auto"/>
            <w:bottom w:val="none" w:sz="0" w:space="0" w:color="auto"/>
            <w:right w:val="none" w:sz="0" w:space="0" w:color="auto"/>
          </w:divBdr>
          <w:divsChild>
            <w:div w:id="6041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vo.co.il/psika_html/shalom/SH-15-11-4480-11.pdf" TargetMode="External"/><Relationship Id="rId18" Type="http://schemas.openxmlformats.org/officeDocument/2006/relationships/hyperlink" Target="https://media.un.org/en/asset/k1f/k1fqe02cux" TargetMode="External"/><Relationship Id="rId26" Type="http://schemas.openxmlformats.org/officeDocument/2006/relationships/hyperlink" Target="https://www.timesofisrael.com/israel-frees-french-palestinian-after-13-months-without-trial/" TargetMode="External"/><Relationship Id="rId39" Type="http://schemas.openxmlformats.org/officeDocument/2006/relationships/hyperlink" Target="https://mfa.gov.il/MFA/ForeignPolicy/Terrorism/Palestinian/Pages/Counter-terrorism%20Jan-Mar%202005.aspx" TargetMode="External"/><Relationship Id="rId21" Type="http://schemas.openxmlformats.org/officeDocument/2006/relationships/hyperlink" Target="https://www.ngo-monitor.org/press-releases/letter-to-unhrc-coi/" TargetMode="External"/><Relationship Id="rId34" Type="http://schemas.openxmlformats.org/officeDocument/2006/relationships/hyperlink" Target="http://www.tabletmag.com/scroll/196483/prominent-israeli-lefties-caught-entrapping-palestinians-trying-to-sell-them-land" TargetMode="External"/><Relationship Id="rId42" Type="http://schemas.openxmlformats.org/officeDocument/2006/relationships/hyperlink" Target="https://www.ngo-monitor.org/ngo-monitor-signs-joint-letter-to-unhrc-president-regarding-the-un-commission-of-inquiry/" TargetMode="External"/><Relationship Id="rId47" Type="http://schemas.openxmlformats.org/officeDocument/2006/relationships/hyperlink" Target="https://www.acquisition.gov/dosar/652.225-71-section-8a-export-administration-act-1979-amended." TargetMode="External"/><Relationship Id="rId50" Type="http://schemas.openxmlformats.org/officeDocument/2006/relationships/hyperlink" Target="https://www.timesofisrael.com/likud-bill-targeting-ngos-foreign-funding-set-to-be-shelved-amid-uproar-report/" TargetMode="External"/><Relationship Id="rId7" Type="http://schemas.openxmlformats.org/officeDocument/2006/relationships/hyperlink" Target="https://www.ngo-monitor.org/submissions/sham-un-hearings-attempt-to-suppress-ngo-monitor-research/" TargetMode="External"/><Relationship Id="rId2" Type="http://schemas.openxmlformats.org/officeDocument/2006/relationships/styles" Target="styles.xml"/><Relationship Id="rId16" Type="http://schemas.openxmlformats.org/officeDocument/2006/relationships/hyperlink" Target="https://undocs.org/Home/Mobile?FinalSymbol=A%2F74%2F358&amp;Language=E&amp;DeviceType=Desktop&amp;LangRequested=False" TargetMode="External"/><Relationship Id="rId29" Type="http://schemas.openxmlformats.org/officeDocument/2006/relationships/hyperlink" Target="https://pflp.ps/post/21090/30-%D9%85%D8%B9%D8%AA%D9%82%D9%84%D8%A7-%D9%85%D9%86-%D8%A7%D9%84%D8%AC%D8%A8%D9%87%D8%A9-%D8%A7%D9%84%D8%B4%D8%B9%D8%A8%D9%8A%D8%A9-%D9%8A%D8%AE%D9%88%D8%B6%D9%88%D9%86-%D9%85%D8%B9%D8%B1%D9%83%D8%A9-%D8%A7%D9%84%D8%A5%D8%B6%D8%B1%D8%A7%D8%A8-%D8%B9%D9%86-%D8%A7%D9%84%D8%B7%D8%B9%D8%A7%D9%85" TargetMode="External"/><Relationship Id="rId11" Type="http://schemas.openxmlformats.org/officeDocument/2006/relationships/hyperlink" Target="https://www.uklfi.com/credit-card-donations-to-terrorist-linked-ngos-terminated" TargetMode="External"/><Relationship Id="rId24" Type="http://schemas.openxmlformats.org/officeDocument/2006/relationships/hyperlink" Target="https://www.ngo-monitor.org/reports/initial-report-uns-permanent-coi-targeting-israel/" TargetMode="External"/><Relationship Id="rId32" Type="http://schemas.openxmlformats.org/officeDocument/2006/relationships/hyperlink" Target="https://www.ngo-monitor.org/verdict-mohammad-el-halabi-world-vision/" TargetMode="External"/><Relationship Id="rId37" Type="http://schemas.openxmlformats.org/officeDocument/2006/relationships/hyperlink" Target="https://www.amnesty.org/en/latest/research/2021/11/devices-of-palestinian-human-rights-defenders-hacked-with-nso-groups-pegasus-spyware-2/" TargetMode="External"/><Relationship Id="rId40" Type="http://schemas.openxmlformats.org/officeDocument/2006/relationships/hyperlink" Target="https://media.un.org/en/asset/k1f/k1fqe02cux" TargetMode="External"/><Relationship Id="rId45" Type="http://schemas.openxmlformats.org/officeDocument/2006/relationships/hyperlink" Target="https://www.ngo-monitor.org/reports/rejoinder_rebuttal_of_adalah_s_response_to_our_research_in_the_jerusalem_post0/" TargetMode="External"/><Relationship Id="rId53" Type="http://schemas.openxmlformats.org/officeDocument/2006/relationships/theme" Target="theme/theme1.xml"/><Relationship Id="rId5" Type="http://schemas.openxmlformats.org/officeDocument/2006/relationships/hyperlink" Target="https://www.ngo-monitor.org/reports/coi-volume-3/" TargetMode="External"/><Relationship Id="rId10" Type="http://schemas.openxmlformats.org/officeDocument/2006/relationships/hyperlink" Target="https://www.ngo-monitor.org/reports/pflp-report/" TargetMode="External"/><Relationship Id="rId19" Type="http://schemas.openxmlformats.org/officeDocument/2006/relationships/hyperlink" Target="https://mondoweiss.libsyn.com/39-investigating-israel-itself-a-conversation-with-un-human-rights-commissioner-miloon-kothari" TargetMode="External"/><Relationship Id="rId31" Type="http://schemas.openxmlformats.org/officeDocument/2006/relationships/hyperlink" Target="http://aijac.org.au/news/article/in-the-world-vision-gaza-case-words-matter" TargetMode="External"/><Relationship Id="rId44" Type="http://schemas.openxmlformats.org/officeDocument/2006/relationships/hyperlink" Target="https://www.ngo-monitor.org/pdf/PFLP_report.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casts.apple.com/us/podcast/the-mondoweiss-podcast/id1538511432" TargetMode="External"/><Relationship Id="rId14" Type="http://schemas.openxmlformats.org/officeDocument/2006/relationships/hyperlink" Target="https://www.holocaustremembrance.com/sites/default/files/press_release_document_antisemitism.pdf" TargetMode="External"/><Relationship Id="rId22" Type="http://schemas.openxmlformats.org/officeDocument/2006/relationships/hyperlink" Target="https://www.ngo-monitor.org/ngo-monitor-signs-joint-letter-to-unhrc-president-regarding-the-un-commission-of-inquiry/" TargetMode="External"/><Relationship Id="rId27" Type="http://schemas.openxmlformats.org/officeDocument/2006/relationships/hyperlink" Target="https://web.archive.org/web/20180826035741/http:/pflp.ps/english/2011/12/20/comrade-salah-hamouri-on-his-release-there-is-no-option-but-resistance/" TargetMode="External"/><Relationship Id="rId30" Type="http://schemas.openxmlformats.org/officeDocument/2006/relationships/hyperlink" Target="https://www.ngo-monitor.org/nm/wp-content/uploads/2022/06/%D7%94%D7%9B%D7%A8%D7%A2%D7%AA-%D7%93%D7%99%D7%9F-%D7%9E%D7%95%D7%97%D7%9E%D7%93-%D7%97%D7%9C%D7%91%D7%99.pdf" TargetMode="External"/><Relationship Id="rId35" Type="http://schemas.openxmlformats.org/officeDocument/2006/relationships/hyperlink" Target="https://www.ynet.co.il/news/article/h1vvd1pxi" TargetMode="External"/><Relationship Id="rId43" Type="http://schemas.openxmlformats.org/officeDocument/2006/relationships/hyperlink" Target="https://www.ngo-monitor.org/pdf/PFLP_report.pdf" TargetMode="External"/><Relationship Id="rId48" Type="http://schemas.openxmlformats.org/officeDocument/2006/relationships/hyperlink" Target="https://www.lemonde.fr/police-justice/article/2015/11/06/l-appel-au-boycott-de-produits-israeliens-est-illegal_4804334_1653578.html" TargetMode="External"/><Relationship Id="rId8" Type="http://schemas.openxmlformats.org/officeDocument/2006/relationships/hyperlink" Target="https://www.ngo-monitor.org/submissions/sham-un-hearings-attempt-to-suppress-ngo-monitor-research/" TargetMode="External"/><Relationship Id="rId51" Type="http://schemas.openxmlformats.org/officeDocument/2006/relationships/hyperlink" Target="https://www.ecoi.net/en/file/local/2067427/cat_c_isr_6_E.pdf" TargetMode="External"/><Relationship Id="rId3" Type="http://schemas.openxmlformats.org/officeDocument/2006/relationships/settings" Target="settings.xml"/><Relationship Id="rId12" Type="http://schemas.openxmlformats.org/officeDocument/2006/relationships/hyperlink" Target="https://www.tweedekamer.nl/kamerstukken/brieven_regering/detail?id=2022Z00093&amp;did=2022D00176" TargetMode="External"/><Relationship Id="rId17" Type="http://schemas.openxmlformats.org/officeDocument/2006/relationships/hyperlink" Target="https://twitter.com/IsraelinUN/status/1587234802691981315" TargetMode="External"/><Relationship Id="rId25" Type="http://schemas.openxmlformats.org/officeDocument/2006/relationships/hyperlink" Target="https://www.ohchr.org/en/special-procedures/sr-human-rights-defenders/about-human-rights-defenders" TargetMode="External"/><Relationship Id="rId33" Type="http://schemas.openxmlformats.org/officeDocument/2006/relationships/hyperlink" Target="https://www.ngo-monitor.org/reports/in-depth-audit-says-world-vision-totally-incompetent-funded-hamas/" TargetMode="External"/><Relationship Id="rId38" Type="http://schemas.openxmlformats.org/officeDocument/2006/relationships/hyperlink" Target="https://www.ngo-monitor.org/nm/wp-content/uploads/2020/10/CamScanner-08-20-2020-11.46.02.pdf" TargetMode="External"/><Relationship Id="rId46" Type="http://schemas.openxmlformats.org/officeDocument/2006/relationships/hyperlink" Target="https://www.ngo-monitor.org/reports/background_and_analysis_regarding_knesset_anti_boycott_law_/" TargetMode="External"/><Relationship Id="rId20"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41" Type="http://schemas.openxmlformats.org/officeDocument/2006/relationships/hyperlink" Target="https://www.ngo-monitor.org/nm/wp-content/uploads/2022/08/220824_Letter-from-Joshua-Kern-and-Anne-Herzberg-to-President-of-the-Human-Rights-Council-and-Annexes-1.pdf" TargetMode="External"/><Relationship Id="rId1" Type="http://schemas.openxmlformats.org/officeDocument/2006/relationships/numbering" Target="numbering.xml"/><Relationship Id="rId6" Type="http://schemas.openxmlformats.org/officeDocument/2006/relationships/hyperlink" Target="https://www.ohchr.org/sites/default/files/documents/hrbodies/hrcouncil/sessions-regular/session53/A-HRC-53-CRP1.pdf" TargetMode="External"/><Relationship Id="rId15" Type="http://schemas.openxmlformats.org/officeDocument/2006/relationships/hyperlink" Target="https://www.holocaustremembrance.com/resources/working-definitions-charters/working-definition-antisemitism/adoption-endorsement" TargetMode="External"/><Relationship Id="rId23" Type="http://schemas.openxmlformats.org/officeDocument/2006/relationships/hyperlink" Target="https://www.ngo-monitor.org/reports/anti-israel-bias-and-ngo-links-of-unhrcs-gaza-committee-of-inquiry-members/" TargetMode="External"/><Relationship Id="rId28" Type="http://schemas.openxmlformats.org/officeDocument/2006/relationships/hyperlink" Target="https://web.archive.org/web/20180826035741/http:/pflp.ps/english/2011/12/20/comrade-salah-hamouri-on-his-release-there-is-no-option-but-resistance/" TargetMode="External"/><Relationship Id="rId36" Type="http://schemas.openxmlformats.org/officeDocument/2006/relationships/hyperlink" Target="https://www.frontlinedefenders.org/en/statement-report/statement-targeting-palestinian-hrds-pegasus" TargetMode="External"/><Relationship Id="rId49" Type="http://schemas.openxmlformats.org/officeDocument/2006/relationships/hyperlink" Target="https://www.gov.il/he/departments/policies/bds_activits_criteria_for_entering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5825</Words>
  <Characters>33208</Characters>
  <Application>Microsoft Office Word</Application>
  <DocSecurity>0</DocSecurity>
  <Lines>276</Lines>
  <Paragraphs>77</Paragraphs>
  <ScaleCrop>false</ScaleCrop>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2023-08-22T15:38:00Z</dcterms:created>
  <dcterms:modified xsi:type="dcterms:W3CDTF">2023-08-22T15:39:00Z</dcterms:modified>
</cp:coreProperties>
</file>