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7344"/>
        <w:gridCol w:w="2016"/>
      </w:tblGrid>
      <w:tr w:rsidR="004509AB" w:rsidRPr="004509AB" w:rsidTr="004509AB">
        <w:trPr>
          <w:tblCellSpacing w:w="0" w:type="dxa"/>
        </w:trPr>
        <w:tc>
          <w:tcPr>
            <w:tcW w:w="0" w:type="auto"/>
            <w:vAlign w:val="center"/>
            <w:hideMark/>
          </w:tcPr>
          <w:p w:rsidR="004509AB" w:rsidRPr="004509AB" w:rsidRDefault="004509AB" w:rsidP="004509AB">
            <w:pPr>
              <w:spacing w:before="120" w:after="120" w:line="240" w:lineRule="auto"/>
              <w:jc w:val="center"/>
              <w:rPr>
                <w:rFonts w:ascii="inherit" w:eastAsia="Times New Roman" w:hAnsi="inherit" w:cs="Times New Roman"/>
                <w:color w:val="000000"/>
                <w:szCs w:val="24"/>
              </w:rPr>
            </w:pPr>
            <w:r w:rsidRPr="004509AB">
              <w:rPr>
                <w:rFonts w:ascii="inherit" w:eastAsia="Times New Roman" w:hAnsi="inherit" w:cs="Times New Roman"/>
                <w:color w:val="000000"/>
                <w:szCs w:val="24"/>
              </w:rPr>
              <w:t>Official Journal of the European Union</w:t>
            </w:r>
          </w:p>
        </w:tc>
        <w:tc>
          <w:tcPr>
            <w:tcW w:w="0" w:type="auto"/>
            <w:vAlign w:val="center"/>
            <w:hideMark/>
          </w:tcPr>
          <w:p w:rsidR="004509AB" w:rsidRPr="004509AB" w:rsidRDefault="004509AB" w:rsidP="004509AB">
            <w:pPr>
              <w:spacing w:before="120" w:after="120" w:line="240" w:lineRule="auto"/>
              <w:jc w:val="right"/>
              <w:rPr>
                <w:rFonts w:ascii="inherit" w:eastAsia="Times New Roman" w:hAnsi="inherit" w:cs="Times New Roman"/>
                <w:color w:val="000000"/>
                <w:szCs w:val="24"/>
              </w:rPr>
            </w:pPr>
            <w:r w:rsidRPr="004509AB">
              <w:rPr>
                <w:rFonts w:ascii="inherit" w:eastAsia="Times New Roman" w:hAnsi="inherit" w:cs="Times New Roman"/>
                <w:color w:val="000000"/>
                <w:szCs w:val="24"/>
              </w:rPr>
              <w:t>CE 70/140</w:t>
            </w:r>
          </w:p>
        </w:tc>
      </w:tr>
    </w:tbl>
    <w:p w:rsidR="004509AB" w:rsidRPr="004509AB" w:rsidRDefault="004509AB" w:rsidP="004509AB">
      <w:pPr>
        <w:spacing w:before="60" w:after="60" w:line="240" w:lineRule="auto"/>
        <w:rPr>
          <w:rFonts w:eastAsia="Times New Roman" w:cs="Times New Roman"/>
          <w:szCs w:val="24"/>
        </w:rPr>
      </w:pPr>
      <w:r w:rsidRPr="004509AB">
        <w:rPr>
          <w:rFonts w:eastAsia="Times New Roman" w:cs="Times New Roman"/>
          <w:szCs w:val="24"/>
        </w:rPr>
        <w:pict>
          <v:rect id="_x0000_i1025" style="width:908.5pt;height:.75pt" o:hrpct="0" o:hralign="center" o:hrstd="t" o:hrnoshade="t" o:hr="t" fillcolor="black" stroked="f"/>
        </w:pict>
      </w:r>
    </w:p>
    <w:p w:rsidR="004509AB" w:rsidRPr="004509AB" w:rsidRDefault="004509AB" w:rsidP="004509AB">
      <w:pPr>
        <w:spacing w:before="120" w:after="120" w:line="240" w:lineRule="auto"/>
        <w:jc w:val="center"/>
        <w:rPr>
          <w:rFonts w:eastAsia="Times New Roman" w:cs="Times New Roman"/>
          <w:color w:val="000000"/>
          <w:szCs w:val="24"/>
        </w:rPr>
      </w:pPr>
      <w:r w:rsidRPr="004509AB">
        <w:rPr>
          <w:rFonts w:eastAsia="Times New Roman" w:cs="Times New Roman"/>
          <w:color w:val="000000"/>
          <w:szCs w:val="24"/>
        </w:rPr>
        <w:t>(2004/C 70 E/143)</w:t>
      </w:r>
    </w:p>
    <w:p w:rsidR="004509AB" w:rsidRPr="004509AB" w:rsidRDefault="004509AB" w:rsidP="004509AB">
      <w:pPr>
        <w:spacing w:before="240" w:after="120" w:line="240" w:lineRule="auto"/>
        <w:jc w:val="center"/>
        <w:rPr>
          <w:rFonts w:eastAsia="Times New Roman" w:cs="Times New Roman"/>
          <w:b/>
          <w:bCs/>
          <w:color w:val="000000"/>
          <w:szCs w:val="24"/>
        </w:rPr>
      </w:pPr>
      <w:r w:rsidRPr="004509AB">
        <w:rPr>
          <w:rFonts w:eastAsia="Times New Roman" w:cs="Times New Roman"/>
          <w:b/>
          <w:bCs/>
          <w:color w:val="000000"/>
          <w:szCs w:val="24"/>
        </w:rPr>
        <w:t>WRITTEN QUESTION E-2774/03</w:t>
      </w:r>
    </w:p>
    <w:p w:rsidR="004509AB" w:rsidRPr="004509AB" w:rsidRDefault="004509AB" w:rsidP="004509AB">
      <w:pPr>
        <w:spacing w:before="240" w:after="120" w:line="240" w:lineRule="auto"/>
        <w:jc w:val="center"/>
        <w:rPr>
          <w:rFonts w:eastAsia="Times New Roman" w:cs="Times New Roman"/>
          <w:b/>
          <w:bCs/>
          <w:color w:val="000000"/>
          <w:szCs w:val="24"/>
        </w:rPr>
      </w:pPr>
      <w:r w:rsidRPr="004509AB">
        <w:rPr>
          <w:rFonts w:eastAsia="Times New Roman" w:cs="Times New Roman"/>
          <w:b/>
          <w:bCs/>
          <w:color w:val="000000"/>
          <w:szCs w:val="24"/>
        </w:rPr>
        <w:t>by Theresa Villiers (PPE-DE) to the Commission</w:t>
      </w:r>
    </w:p>
    <w:p w:rsidR="004509AB" w:rsidRPr="004509AB" w:rsidRDefault="004509AB" w:rsidP="004509AB">
      <w:pPr>
        <w:spacing w:before="240" w:after="120" w:line="240" w:lineRule="auto"/>
        <w:jc w:val="center"/>
        <w:rPr>
          <w:rFonts w:eastAsia="Times New Roman" w:cs="Times New Roman"/>
          <w:b/>
          <w:bCs/>
          <w:color w:val="000000"/>
          <w:szCs w:val="24"/>
        </w:rPr>
      </w:pPr>
      <w:r w:rsidRPr="004509AB">
        <w:rPr>
          <w:rFonts w:eastAsia="Times New Roman" w:cs="Times New Roman"/>
          <w:b/>
          <w:bCs/>
          <w:color w:val="000000"/>
          <w:szCs w:val="24"/>
        </w:rPr>
        <w:t>(16 September 2003)</w:t>
      </w:r>
    </w:p>
    <w:p w:rsidR="004509AB" w:rsidRDefault="004509AB" w:rsidP="004509AB">
      <w:pPr>
        <w:spacing w:before="240" w:after="120" w:line="240" w:lineRule="auto"/>
        <w:jc w:val="both"/>
      </w:pPr>
      <w:hyperlink r:id="rId4" w:anchor="ntr2-CE2004070EN.01014001-E0002" w:history="1">
        <w:r>
          <w:rPr>
            <w:rStyle w:val="Hyperlink"/>
          </w:rPr>
          <w:t>https://eur-lex.europa.eu/legal-content/EN/TXT/HTML/?uri=CELEX:92003E002774&amp;qid=1402224645432&amp;from=EN#ntr2-CE2004070EN.01014001-E0002</w:t>
        </w:r>
      </w:hyperlink>
    </w:p>
    <w:p w:rsidR="004509AB" w:rsidRPr="004509AB" w:rsidRDefault="004509AB" w:rsidP="004509AB">
      <w:pPr>
        <w:spacing w:before="240" w:after="120" w:line="240" w:lineRule="auto"/>
        <w:jc w:val="both"/>
        <w:rPr>
          <w:rFonts w:eastAsia="Times New Roman" w:cs="Times New Roman"/>
          <w:b/>
          <w:bCs/>
          <w:color w:val="000000"/>
          <w:szCs w:val="24"/>
        </w:rPr>
      </w:pPr>
      <w:bookmarkStart w:id="0" w:name="_GoBack"/>
      <w:bookmarkEnd w:id="0"/>
      <w:r w:rsidRPr="004509AB">
        <w:rPr>
          <w:rFonts w:ascii="inherit" w:eastAsia="Times New Roman" w:hAnsi="inherit" w:cs="Times New Roman"/>
          <w:b/>
          <w:bCs/>
          <w:i/>
          <w:iCs/>
          <w:color w:val="000000"/>
          <w:szCs w:val="24"/>
        </w:rPr>
        <w:t>Subject:</w:t>
      </w:r>
      <w:r w:rsidRPr="004509AB">
        <w:rPr>
          <w:rFonts w:eastAsia="Times New Roman" w:cs="Times New Roman"/>
          <w:b/>
          <w:bCs/>
          <w:color w:val="000000"/>
          <w:szCs w:val="24"/>
        </w:rPr>
        <w:t xml:space="preserve">   Classification of Hamas as a terrorist </w:t>
      </w:r>
      <w:proofErr w:type="spellStart"/>
      <w:r w:rsidRPr="004509AB">
        <w:rPr>
          <w:rFonts w:eastAsia="Times New Roman" w:cs="Times New Roman"/>
          <w:b/>
          <w:bCs/>
          <w:color w:val="000000"/>
          <w:szCs w:val="24"/>
        </w:rPr>
        <w:t>organisation</w:t>
      </w:r>
      <w:proofErr w:type="spellEnd"/>
    </w:p>
    <w:tbl>
      <w:tblPr>
        <w:tblW w:w="5000" w:type="pct"/>
        <w:tblCellSpacing w:w="0" w:type="dxa"/>
        <w:tblCellMar>
          <w:left w:w="0" w:type="dxa"/>
          <w:right w:w="0" w:type="dxa"/>
        </w:tblCellMar>
        <w:tblLook w:val="04A0" w:firstRow="1" w:lastRow="0" w:firstColumn="1" w:lastColumn="0" w:noHBand="0" w:noVBand="1"/>
      </w:tblPr>
      <w:tblGrid>
        <w:gridCol w:w="228"/>
        <w:gridCol w:w="9132"/>
      </w:tblGrid>
      <w:tr w:rsidR="004509AB" w:rsidRPr="004509AB" w:rsidTr="004509AB">
        <w:trPr>
          <w:tblCellSpacing w:w="0" w:type="dxa"/>
        </w:trPr>
        <w:tc>
          <w:tcPr>
            <w:tcW w:w="0" w:type="auto"/>
            <w:hideMark/>
          </w:tcPr>
          <w:p w:rsidR="004509AB" w:rsidRPr="004509AB" w:rsidRDefault="004509AB" w:rsidP="004509AB">
            <w:pPr>
              <w:spacing w:before="120" w:after="0" w:line="240" w:lineRule="auto"/>
              <w:jc w:val="both"/>
              <w:rPr>
                <w:rFonts w:ascii="inherit" w:eastAsia="Times New Roman" w:hAnsi="inherit" w:cs="Times New Roman"/>
                <w:color w:val="000000"/>
                <w:szCs w:val="24"/>
              </w:rPr>
            </w:pPr>
            <w:r w:rsidRPr="004509AB">
              <w:rPr>
                <w:rFonts w:ascii="inherit" w:eastAsia="Times New Roman" w:hAnsi="inherit" w:cs="Times New Roman"/>
                <w:color w:val="000000"/>
                <w:szCs w:val="24"/>
              </w:rPr>
              <w:t>1.</w:t>
            </w:r>
          </w:p>
        </w:tc>
        <w:tc>
          <w:tcPr>
            <w:tcW w:w="0" w:type="auto"/>
            <w:hideMark/>
          </w:tcPr>
          <w:p w:rsidR="004509AB" w:rsidRPr="004509AB" w:rsidRDefault="004509AB" w:rsidP="004509AB">
            <w:pPr>
              <w:spacing w:before="120" w:after="0" w:line="240" w:lineRule="auto"/>
              <w:jc w:val="both"/>
              <w:rPr>
                <w:rFonts w:ascii="inherit" w:eastAsia="Times New Roman" w:hAnsi="inherit" w:cs="Times New Roman"/>
                <w:color w:val="000000"/>
                <w:szCs w:val="24"/>
              </w:rPr>
            </w:pPr>
            <w:r w:rsidRPr="004509AB">
              <w:rPr>
                <w:rFonts w:ascii="inherit" w:eastAsia="Times New Roman" w:hAnsi="inherit" w:cs="Times New Roman"/>
                <w:color w:val="000000"/>
                <w:szCs w:val="24"/>
              </w:rPr>
              <w:t xml:space="preserve">Does the European Commission classify Hamas as a terrorist </w:t>
            </w:r>
            <w:proofErr w:type="spellStart"/>
            <w:r w:rsidRPr="004509AB">
              <w:rPr>
                <w:rFonts w:ascii="inherit" w:eastAsia="Times New Roman" w:hAnsi="inherit" w:cs="Times New Roman"/>
                <w:color w:val="000000"/>
                <w:szCs w:val="24"/>
              </w:rPr>
              <w:t>organisation</w:t>
            </w:r>
            <w:proofErr w:type="spellEnd"/>
            <w:r w:rsidRPr="004509AB">
              <w:rPr>
                <w:rFonts w:ascii="inherit" w:eastAsia="Times New Roman" w:hAnsi="inherit" w:cs="Times New Roman"/>
                <w:color w:val="000000"/>
                <w:szCs w:val="24"/>
              </w:rPr>
              <w:t>?</w:t>
            </w:r>
          </w:p>
        </w:tc>
      </w:tr>
    </w:tbl>
    <w:p w:rsidR="004509AB" w:rsidRPr="004509AB" w:rsidRDefault="004509AB" w:rsidP="004509AB">
      <w:pPr>
        <w:spacing w:after="0" w:line="240" w:lineRule="auto"/>
        <w:rPr>
          <w:rFonts w:eastAsia="Times New Roman" w:cs="Times New Roman"/>
          <w:vanish/>
          <w:szCs w:val="24"/>
        </w:rPr>
      </w:pPr>
    </w:p>
    <w:tbl>
      <w:tblPr>
        <w:tblW w:w="5000" w:type="pct"/>
        <w:tblCellSpacing w:w="0" w:type="dxa"/>
        <w:tblCellMar>
          <w:left w:w="0" w:type="dxa"/>
          <w:right w:w="0" w:type="dxa"/>
        </w:tblCellMar>
        <w:tblLook w:val="04A0" w:firstRow="1" w:lastRow="0" w:firstColumn="1" w:lastColumn="0" w:noHBand="0" w:noVBand="1"/>
      </w:tblPr>
      <w:tblGrid>
        <w:gridCol w:w="259"/>
        <w:gridCol w:w="9101"/>
      </w:tblGrid>
      <w:tr w:rsidR="004509AB" w:rsidRPr="004509AB" w:rsidTr="004509AB">
        <w:trPr>
          <w:tblCellSpacing w:w="0" w:type="dxa"/>
        </w:trPr>
        <w:tc>
          <w:tcPr>
            <w:tcW w:w="0" w:type="auto"/>
            <w:hideMark/>
          </w:tcPr>
          <w:p w:rsidR="004509AB" w:rsidRPr="004509AB" w:rsidRDefault="004509AB" w:rsidP="004509AB">
            <w:pPr>
              <w:spacing w:before="120" w:after="0" w:line="240" w:lineRule="auto"/>
              <w:jc w:val="both"/>
              <w:rPr>
                <w:rFonts w:ascii="inherit" w:eastAsia="Times New Roman" w:hAnsi="inherit" w:cs="Times New Roman"/>
                <w:color w:val="000000"/>
                <w:szCs w:val="24"/>
              </w:rPr>
            </w:pPr>
            <w:r w:rsidRPr="004509AB">
              <w:rPr>
                <w:rFonts w:ascii="inherit" w:eastAsia="Times New Roman" w:hAnsi="inherit" w:cs="Times New Roman"/>
                <w:color w:val="000000"/>
                <w:szCs w:val="24"/>
              </w:rPr>
              <w:t>2.</w:t>
            </w:r>
          </w:p>
        </w:tc>
        <w:tc>
          <w:tcPr>
            <w:tcW w:w="0" w:type="auto"/>
            <w:hideMark/>
          </w:tcPr>
          <w:p w:rsidR="004509AB" w:rsidRPr="004509AB" w:rsidRDefault="004509AB" w:rsidP="004509AB">
            <w:pPr>
              <w:spacing w:before="120" w:after="0" w:line="240" w:lineRule="auto"/>
              <w:jc w:val="both"/>
              <w:rPr>
                <w:rFonts w:ascii="inherit" w:eastAsia="Times New Roman" w:hAnsi="inherit" w:cs="Times New Roman"/>
                <w:color w:val="000000"/>
                <w:szCs w:val="24"/>
              </w:rPr>
            </w:pPr>
            <w:r w:rsidRPr="004509AB">
              <w:rPr>
                <w:rFonts w:ascii="inherit" w:eastAsia="Times New Roman" w:hAnsi="inherit" w:cs="Times New Roman"/>
                <w:color w:val="000000"/>
                <w:szCs w:val="24"/>
              </w:rPr>
              <w:t>If it does not, how does the Commission justify its stance on this?</w:t>
            </w:r>
          </w:p>
        </w:tc>
      </w:tr>
    </w:tbl>
    <w:p w:rsidR="004509AB" w:rsidRPr="004509AB" w:rsidRDefault="004509AB" w:rsidP="004509AB">
      <w:pPr>
        <w:spacing w:after="0" w:line="240" w:lineRule="auto"/>
        <w:rPr>
          <w:rFonts w:eastAsia="Times New Roman" w:cs="Times New Roman"/>
          <w:vanish/>
          <w:szCs w:val="24"/>
        </w:rPr>
      </w:pPr>
    </w:p>
    <w:tbl>
      <w:tblPr>
        <w:tblW w:w="5000" w:type="pct"/>
        <w:tblCellSpacing w:w="0" w:type="dxa"/>
        <w:tblCellMar>
          <w:left w:w="0" w:type="dxa"/>
          <w:right w:w="0" w:type="dxa"/>
        </w:tblCellMar>
        <w:tblLook w:val="04A0" w:firstRow="1" w:lastRow="0" w:firstColumn="1" w:lastColumn="0" w:noHBand="0" w:noVBand="1"/>
      </w:tblPr>
      <w:tblGrid>
        <w:gridCol w:w="180"/>
        <w:gridCol w:w="9180"/>
      </w:tblGrid>
      <w:tr w:rsidR="004509AB" w:rsidRPr="004509AB" w:rsidTr="004509AB">
        <w:trPr>
          <w:tblCellSpacing w:w="0" w:type="dxa"/>
        </w:trPr>
        <w:tc>
          <w:tcPr>
            <w:tcW w:w="0" w:type="auto"/>
            <w:hideMark/>
          </w:tcPr>
          <w:p w:rsidR="004509AB" w:rsidRPr="004509AB" w:rsidRDefault="004509AB" w:rsidP="004509AB">
            <w:pPr>
              <w:spacing w:before="120" w:after="0" w:line="240" w:lineRule="auto"/>
              <w:jc w:val="both"/>
              <w:rPr>
                <w:rFonts w:ascii="inherit" w:eastAsia="Times New Roman" w:hAnsi="inherit" w:cs="Times New Roman"/>
                <w:color w:val="000000"/>
                <w:szCs w:val="24"/>
              </w:rPr>
            </w:pPr>
            <w:r w:rsidRPr="004509AB">
              <w:rPr>
                <w:rFonts w:ascii="inherit" w:eastAsia="Times New Roman" w:hAnsi="inherit" w:cs="Times New Roman"/>
                <w:color w:val="000000"/>
                <w:szCs w:val="24"/>
              </w:rPr>
              <w:t>3.</w:t>
            </w:r>
          </w:p>
        </w:tc>
        <w:tc>
          <w:tcPr>
            <w:tcW w:w="0" w:type="auto"/>
            <w:hideMark/>
          </w:tcPr>
          <w:p w:rsidR="004509AB" w:rsidRPr="004509AB" w:rsidRDefault="004509AB" w:rsidP="004509AB">
            <w:pPr>
              <w:spacing w:before="120" w:after="0" w:line="240" w:lineRule="auto"/>
              <w:jc w:val="both"/>
              <w:rPr>
                <w:rFonts w:ascii="inherit" w:eastAsia="Times New Roman" w:hAnsi="inherit" w:cs="Times New Roman"/>
                <w:color w:val="000000"/>
                <w:szCs w:val="24"/>
              </w:rPr>
            </w:pPr>
            <w:r w:rsidRPr="004509AB">
              <w:rPr>
                <w:rFonts w:ascii="inherit" w:eastAsia="Times New Roman" w:hAnsi="inherit" w:cs="Times New Roman"/>
                <w:color w:val="000000"/>
                <w:szCs w:val="24"/>
              </w:rPr>
              <w:t xml:space="preserve">Does the Commission believe that refusal to label Hamas as a terrorist </w:t>
            </w:r>
            <w:proofErr w:type="spellStart"/>
            <w:r w:rsidRPr="004509AB">
              <w:rPr>
                <w:rFonts w:ascii="inherit" w:eastAsia="Times New Roman" w:hAnsi="inherit" w:cs="Times New Roman"/>
                <w:color w:val="000000"/>
                <w:szCs w:val="24"/>
              </w:rPr>
              <w:t>oganisation</w:t>
            </w:r>
            <w:proofErr w:type="spellEnd"/>
            <w:r w:rsidRPr="004509AB">
              <w:rPr>
                <w:rFonts w:ascii="inherit" w:eastAsia="Times New Roman" w:hAnsi="inherit" w:cs="Times New Roman"/>
                <w:color w:val="000000"/>
                <w:szCs w:val="24"/>
              </w:rPr>
              <w:t xml:space="preserve"> would constitute a dangerous obstacle to peace in the Middle East at what is a crucial stage of the peace process?</w:t>
            </w:r>
          </w:p>
        </w:tc>
      </w:tr>
    </w:tbl>
    <w:p w:rsidR="004509AB" w:rsidRPr="004509AB" w:rsidRDefault="004509AB" w:rsidP="004509AB">
      <w:pPr>
        <w:spacing w:before="240" w:after="120" w:line="240" w:lineRule="auto"/>
        <w:jc w:val="both"/>
        <w:rPr>
          <w:rFonts w:eastAsia="Times New Roman" w:cs="Times New Roman"/>
          <w:b/>
          <w:bCs/>
          <w:color w:val="000000"/>
          <w:szCs w:val="24"/>
        </w:rPr>
      </w:pPr>
      <w:r w:rsidRPr="004509AB">
        <w:rPr>
          <w:rFonts w:eastAsia="Times New Roman" w:cs="Times New Roman"/>
          <w:b/>
          <w:bCs/>
          <w:color w:val="000000"/>
          <w:szCs w:val="24"/>
        </w:rPr>
        <w:t xml:space="preserve">Answer given by </w:t>
      </w:r>
      <w:proofErr w:type="spellStart"/>
      <w:r w:rsidRPr="004509AB">
        <w:rPr>
          <w:rFonts w:eastAsia="Times New Roman" w:cs="Times New Roman"/>
          <w:b/>
          <w:bCs/>
          <w:color w:val="000000"/>
          <w:szCs w:val="24"/>
        </w:rPr>
        <w:t>Mr</w:t>
      </w:r>
      <w:proofErr w:type="spellEnd"/>
      <w:r w:rsidRPr="004509AB">
        <w:rPr>
          <w:rFonts w:eastAsia="Times New Roman" w:cs="Times New Roman"/>
          <w:b/>
          <w:bCs/>
          <w:color w:val="000000"/>
          <w:szCs w:val="24"/>
        </w:rPr>
        <w:t xml:space="preserve"> Patten on behalf of the Commission</w:t>
      </w:r>
    </w:p>
    <w:p w:rsidR="004509AB" w:rsidRPr="004509AB" w:rsidRDefault="004509AB" w:rsidP="004509AB">
      <w:pPr>
        <w:spacing w:before="240" w:after="120" w:line="240" w:lineRule="auto"/>
        <w:jc w:val="both"/>
        <w:rPr>
          <w:rFonts w:eastAsia="Times New Roman" w:cs="Times New Roman"/>
          <w:b/>
          <w:bCs/>
          <w:color w:val="000000"/>
          <w:szCs w:val="24"/>
        </w:rPr>
      </w:pPr>
      <w:r w:rsidRPr="004509AB">
        <w:rPr>
          <w:rFonts w:ascii="inherit" w:eastAsia="Times New Roman" w:hAnsi="inherit" w:cs="Times New Roman"/>
          <w:b/>
          <w:bCs/>
          <w:i/>
          <w:iCs/>
          <w:color w:val="000000"/>
          <w:szCs w:val="24"/>
        </w:rPr>
        <w:t>(10 October 2003)</w:t>
      </w:r>
    </w:p>
    <w:p w:rsidR="004509AB" w:rsidRPr="004509AB" w:rsidRDefault="004509AB" w:rsidP="004509AB">
      <w:pPr>
        <w:spacing w:before="120" w:after="0" w:line="240" w:lineRule="auto"/>
        <w:jc w:val="both"/>
        <w:rPr>
          <w:rFonts w:eastAsia="Times New Roman" w:cs="Times New Roman"/>
          <w:color w:val="000000"/>
          <w:szCs w:val="24"/>
        </w:rPr>
      </w:pPr>
      <w:r w:rsidRPr="004509AB">
        <w:rPr>
          <w:rFonts w:eastAsia="Times New Roman" w:cs="Times New Roman"/>
          <w:color w:val="000000"/>
          <w:szCs w:val="24"/>
        </w:rPr>
        <w:t>The Union has, further to Resolution 1373(2001) of the United Nations (UN) Security Council, adopted Common Position 2001/931/CFSP on the application of specific measures to combat terrorism</w:t>
      </w:r>
      <w:hyperlink r:id="rId5" w:anchor="ntr1-CE2004070EN.01014001-E0001" w:history="1">
        <w:r w:rsidRPr="004509AB">
          <w:rPr>
            <w:rFonts w:ascii="inherit" w:eastAsia="Times New Roman" w:hAnsi="inherit" w:cs="Times New Roman"/>
            <w:color w:val="0000FF"/>
            <w:szCs w:val="24"/>
            <w:u w:val="single"/>
          </w:rPr>
          <w:t> (</w:t>
        </w:r>
        <w:r w:rsidRPr="004509AB">
          <w:rPr>
            <w:rFonts w:ascii="inherit" w:eastAsia="Times New Roman" w:hAnsi="inherit" w:cs="Times New Roman"/>
            <w:color w:val="0000FF"/>
            <w:sz w:val="17"/>
            <w:szCs w:val="17"/>
            <w:u w:val="single"/>
            <w:vertAlign w:val="superscript"/>
          </w:rPr>
          <w:t>1</w:t>
        </w:r>
        <w:r w:rsidRPr="004509AB">
          <w:rPr>
            <w:rFonts w:ascii="inherit" w:eastAsia="Times New Roman" w:hAnsi="inherit" w:cs="Times New Roman"/>
            <w:color w:val="0000FF"/>
            <w:szCs w:val="24"/>
            <w:u w:val="single"/>
          </w:rPr>
          <w:t>)</w:t>
        </w:r>
      </w:hyperlink>
      <w:r w:rsidRPr="004509AB">
        <w:rPr>
          <w:rFonts w:eastAsia="Times New Roman" w:cs="Times New Roman"/>
          <w:color w:val="000000"/>
          <w:szCs w:val="24"/>
        </w:rPr>
        <w:t>. The Common Position provides that these specific measures apply to persons, groups and entities involved in terrorist acts and listed in the annex to that Common Position. That list is established and updated by Council.</w:t>
      </w:r>
    </w:p>
    <w:p w:rsidR="004509AB" w:rsidRPr="004509AB" w:rsidRDefault="004509AB" w:rsidP="004509AB">
      <w:pPr>
        <w:spacing w:before="120" w:after="0" w:line="240" w:lineRule="auto"/>
        <w:jc w:val="both"/>
        <w:rPr>
          <w:rFonts w:eastAsia="Times New Roman" w:cs="Times New Roman"/>
          <w:color w:val="000000"/>
          <w:szCs w:val="24"/>
        </w:rPr>
      </w:pPr>
      <w:r w:rsidRPr="004509AB">
        <w:rPr>
          <w:rFonts w:eastAsia="Times New Roman" w:cs="Times New Roman"/>
          <w:color w:val="000000"/>
          <w:szCs w:val="24"/>
        </w:rPr>
        <w:t xml:space="preserve">In December 2001, the Council listed </w:t>
      </w:r>
      <w:proofErr w:type="spellStart"/>
      <w:r w:rsidRPr="004509AB">
        <w:rPr>
          <w:rFonts w:eastAsia="Times New Roman" w:cs="Times New Roman"/>
          <w:color w:val="000000"/>
          <w:szCs w:val="24"/>
        </w:rPr>
        <w:t>Izz</w:t>
      </w:r>
      <w:proofErr w:type="spellEnd"/>
      <w:r w:rsidRPr="004509AB">
        <w:rPr>
          <w:rFonts w:eastAsia="Times New Roman" w:cs="Times New Roman"/>
          <w:color w:val="000000"/>
          <w:szCs w:val="24"/>
        </w:rPr>
        <w:t xml:space="preserve"> al-Din al-</w:t>
      </w:r>
      <w:proofErr w:type="spellStart"/>
      <w:r w:rsidRPr="004509AB">
        <w:rPr>
          <w:rFonts w:eastAsia="Times New Roman" w:cs="Times New Roman"/>
          <w:color w:val="000000"/>
          <w:szCs w:val="24"/>
        </w:rPr>
        <w:t>Qassem</w:t>
      </w:r>
      <w:proofErr w:type="spellEnd"/>
      <w:r w:rsidRPr="004509AB">
        <w:rPr>
          <w:rFonts w:eastAsia="Times New Roman" w:cs="Times New Roman"/>
          <w:color w:val="000000"/>
          <w:szCs w:val="24"/>
        </w:rPr>
        <w:t>, the terrorist wing of Hamas. On 12 September 2003, it decided to list Hamas in its entirety</w:t>
      </w:r>
      <w:hyperlink r:id="rId6" w:anchor="ntr2-CE2004070EN.01014001-E0002" w:history="1">
        <w:r w:rsidRPr="004509AB">
          <w:rPr>
            <w:rFonts w:ascii="inherit" w:eastAsia="Times New Roman" w:hAnsi="inherit" w:cs="Times New Roman"/>
            <w:color w:val="0000FF"/>
            <w:szCs w:val="24"/>
            <w:u w:val="single"/>
          </w:rPr>
          <w:t> (</w:t>
        </w:r>
        <w:r w:rsidRPr="004509AB">
          <w:rPr>
            <w:rFonts w:ascii="inherit" w:eastAsia="Times New Roman" w:hAnsi="inherit" w:cs="Times New Roman"/>
            <w:color w:val="0000FF"/>
            <w:sz w:val="17"/>
            <w:szCs w:val="17"/>
            <w:u w:val="single"/>
            <w:vertAlign w:val="superscript"/>
          </w:rPr>
          <w:t>2</w:t>
        </w:r>
        <w:r w:rsidRPr="004509AB">
          <w:rPr>
            <w:rFonts w:ascii="inherit" w:eastAsia="Times New Roman" w:hAnsi="inherit" w:cs="Times New Roman"/>
            <w:color w:val="0000FF"/>
            <w:szCs w:val="24"/>
            <w:u w:val="single"/>
          </w:rPr>
          <w:t>)</w:t>
        </w:r>
      </w:hyperlink>
      <w:r w:rsidRPr="004509AB">
        <w:rPr>
          <w:rFonts w:eastAsia="Times New Roman" w:cs="Times New Roman"/>
          <w:color w:val="000000"/>
          <w:szCs w:val="24"/>
        </w:rPr>
        <w:t>.</w:t>
      </w:r>
    </w:p>
    <w:p w:rsidR="004509AB" w:rsidRPr="004509AB" w:rsidRDefault="004509AB" w:rsidP="004509AB">
      <w:pPr>
        <w:spacing w:before="120" w:after="0" w:line="240" w:lineRule="auto"/>
        <w:jc w:val="both"/>
        <w:rPr>
          <w:rFonts w:eastAsia="Times New Roman" w:cs="Times New Roman"/>
          <w:color w:val="000000"/>
          <w:szCs w:val="24"/>
        </w:rPr>
      </w:pPr>
      <w:r w:rsidRPr="004509AB">
        <w:rPr>
          <w:rFonts w:eastAsia="Times New Roman" w:cs="Times New Roman"/>
          <w:color w:val="000000"/>
          <w:szCs w:val="24"/>
        </w:rPr>
        <w:t>Listing essentially means that Member States offer each other the widest possible assistance in preventing and combating terrorist acts through police and judicial co-operation in criminal matters</w:t>
      </w:r>
      <w:hyperlink r:id="rId7" w:anchor="ntr3-CE2004070EN.01014001-E0003" w:history="1">
        <w:r w:rsidRPr="004509AB">
          <w:rPr>
            <w:rFonts w:ascii="inherit" w:eastAsia="Times New Roman" w:hAnsi="inherit" w:cs="Times New Roman"/>
            <w:color w:val="0000FF"/>
            <w:szCs w:val="24"/>
            <w:u w:val="single"/>
          </w:rPr>
          <w:t> (</w:t>
        </w:r>
        <w:r w:rsidRPr="004509AB">
          <w:rPr>
            <w:rFonts w:ascii="inherit" w:eastAsia="Times New Roman" w:hAnsi="inherit" w:cs="Times New Roman"/>
            <w:color w:val="0000FF"/>
            <w:sz w:val="17"/>
            <w:szCs w:val="17"/>
            <w:u w:val="single"/>
            <w:vertAlign w:val="superscript"/>
          </w:rPr>
          <w:t>3</w:t>
        </w:r>
        <w:r w:rsidRPr="004509AB">
          <w:rPr>
            <w:rFonts w:ascii="inherit" w:eastAsia="Times New Roman" w:hAnsi="inherit" w:cs="Times New Roman"/>
            <w:color w:val="0000FF"/>
            <w:szCs w:val="24"/>
            <w:u w:val="single"/>
          </w:rPr>
          <w:t>)</w:t>
        </w:r>
      </w:hyperlink>
      <w:r w:rsidRPr="004509AB">
        <w:rPr>
          <w:rFonts w:eastAsia="Times New Roman" w:cs="Times New Roman"/>
          <w:color w:val="000000"/>
          <w:szCs w:val="24"/>
        </w:rPr>
        <w:t>, and that the financial restrictions set out in Council Regulation (EC) No 2580/2001 of 27 December 2001 on specific restrictive measures directed against certain persons and entities with a view to combating terrorism</w:t>
      </w:r>
      <w:hyperlink r:id="rId8" w:anchor="ntr4-CE2004070EN.01014001-E0004" w:history="1">
        <w:r w:rsidRPr="004509AB">
          <w:rPr>
            <w:rFonts w:ascii="inherit" w:eastAsia="Times New Roman" w:hAnsi="inherit" w:cs="Times New Roman"/>
            <w:color w:val="0000FF"/>
            <w:szCs w:val="24"/>
            <w:u w:val="single"/>
          </w:rPr>
          <w:t> (</w:t>
        </w:r>
        <w:r w:rsidRPr="004509AB">
          <w:rPr>
            <w:rFonts w:ascii="inherit" w:eastAsia="Times New Roman" w:hAnsi="inherit" w:cs="Times New Roman"/>
            <w:color w:val="0000FF"/>
            <w:sz w:val="17"/>
            <w:szCs w:val="17"/>
            <w:u w:val="single"/>
            <w:vertAlign w:val="superscript"/>
          </w:rPr>
          <w:t>4</w:t>
        </w:r>
        <w:r w:rsidRPr="004509AB">
          <w:rPr>
            <w:rFonts w:ascii="inherit" w:eastAsia="Times New Roman" w:hAnsi="inherit" w:cs="Times New Roman"/>
            <w:color w:val="0000FF"/>
            <w:szCs w:val="24"/>
            <w:u w:val="single"/>
          </w:rPr>
          <w:t>)</w:t>
        </w:r>
      </w:hyperlink>
      <w:r w:rsidRPr="004509AB">
        <w:rPr>
          <w:rFonts w:eastAsia="Times New Roman" w:cs="Times New Roman"/>
          <w:color w:val="000000"/>
          <w:szCs w:val="24"/>
        </w:rPr>
        <w:t> apply.</w:t>
      </w:r>
    </w:p>
    <w:p w:rsidR="004509AB" w:rsidRPr="004509AB" w:rsidRDefault="004509AB" w:rsidP="004509AB">
      <w:pPr>
        <w:spacing w:before="240" w:after="60" w:line="240" w:lineRule="auto"/>
        <w:rPr>
          <w:rFonts w:eastAsia="Times New Roman" w:cs="Times New Roman"/>
          <w:szCs w:val="24"/>
        </w:rPr>
      </w:pPr>
      <w:r w:rsidRPr="004509AB">
        <w:rPr>
          <w:rFonts w:eastAsia="Times New Roman" w:cs="Times New Roman"/>
          <w:szCs w:val="24"/>
        </w:rPr>
        <w:pict>
          <v:rect id="_x0000_i1026" style="width:181.7pt;height:.75pt" o:hrpct="0" o:hrstd="t" o:hrnoshade="t" o:hr="t" fillcolor="black" stroked="f"/>
        </w:pict>
      </w:r>
    </w:p>
    <w:p w:rsidR="004509AB" w:rsidRPr="004509AB" w:rsidRDefault="004509AB" w:rsidP="004509AB">
      <w:pPr>
        <w:spacing w:before="60" w:after="60" w:line="240" w:lineRule="auto"/>
        <w:jc w:val="both"/>
        <w:rPr>
          <w:rFonts w:eastAsia="Times New Roman" w:cs="Times New Roman"/>
          <w:color w:val="000000"/>
          <w:sz w:val="19"/>
          <w:szCs w:val="19"/>
        </w:rPr>
      </w:pPr>
      <w:hyperlink r:id="rId9" w:anchor="ntc1-CE2004070EN.01014001-E0001" w:history="1">
        <w:r w:rsidRPr="004509AB">
          <w:rPr>
            <w:rFonts w:ascii="inherit" w:eastAsia="Times New Roman" w:hAnsi="inherit" w:cs="Times New Roman"/>
            <w:color w:val="0000FF"/>
            <w:sz w:val="19"/>
            <w:szCs w:val="19"/>
            <w:u w:val="single"/>
          </w:rPr>
          <w:t>(</w:t>
        </w:r>
        <w:r w:rsidRPr="004509AB">
          <w:rPr>
            <w:rFonts w:ascii="inherit" w:eastAsia="Times New Roman" w:hAnsi="inherit" w:cs="Times New Roman"/>
            <w:color w:val="0000FF"/>
            <w:sz w:val="13"/>
            <w:szCs w:val="13"/>
            <w:u w:val="single"/>
            <w:vertAlign w:val="superscript"/>
          </w:rPr>
          <w:t>1</w:t>
        </w:r>
        <w:r w:rsidRPr="004509AB">
          <w:rPr>
            <w:rFonts w:ascii="inherit" w:eastAsia="Times New Roman" w:hAnsi="inherit" w:cs="Times New Roman"/>
            <w:color w:val="0000FF"/>
            <w:sz w:val="19"/>
            <w:szCs w:val="19"/>
            <w:u w:val="single"/>
          </w:rPr>
          <w:t>)</w:t>
        </w:r>
      </w:hyperlink>
      <w:r w:rsidRPr="004509AB">
        <w:rPr>
          <w:rFonts w:eastAsia="Times New Roman" w:cs="Times New Roman"/>
          <w:color w:val="000000"/>
          <w:sz w:val="19"/>
          <w:szCs w:val="19"/>
        </w:rPr>
        <w:t>  </w:t>
      </w:r>
      <w:hyperlink r:id="rId10" w:history="1">
        <w:r w:rsidRPr="004509AB">
          <w:rPr>
            <w:rFonts w:ascii="inherit" w:eastAsia="Times New Roman" w:hAnsi="inherit" w:cs="Times New Roman"/>
            <w:color w:val="0000FF"/>
            <w:sz w:val="19"/>
            <w:szCs w:val="19"/>
            <w:u w:val="single"/>
          </w:rPr>
          <w:t>OJ L 344, 28.12.2001</w:t>
        </w:r>
      </w:hyperlink>
      <w:r w:rsidRPr="004509AB">
        <w:rPr>
          <w:rFonts w:eastAsia="Times New Roman" w:cs="Times New Roman"/>
          <w:color w:val="000000"/>
          <w:sz w:val="19"/>
          <w:szCs w:val="19"/>
        </w:rPr>
        <w:t>.</w:t>
      </w:r>
    </w:p>
    <w:p w:rsidR="004509AB" w:rsidRPr="004509AB" w:rsidRDefault="004509AB" w:rsidP="004509AB">
      <w:pPr>
        <w:spacing w:before="60" w:after="60" w:line="240" w:lineRule="auto"/>
        <w:jc w:val="both"/>
        <w:rPr>
          <w:rFonts w:eastAsia="Times New Roman" w:cs="Times New Roman"/>
          <w:color w:val="000000"/>
          <w:sz w:val="19"/>
          <w:szCs w:val="19"/>
        </w:rPr>
      </w:pPr>
      <w:hyperlink r:id="rId11" w:anchor="ntc2-CE2004070EN.01014001-E0002" w:history="1">
        <w:r w:rsidRPr="004509AB">
          <w:rPr>
            <w:rFonts w:ascii="inherit" w:eastAsia="Times New Roman" w:hAnsi="inherit" w:cs="Times New Roman"/>
            <w:color w:val="0000FF"/>
            <w:sz w:val="19"/>
            <w:szCs w:val="19"/>
            <w:u w:val="single"/>
          </w:rPr>
          <w:t>(</w:t>
        </w:r>
        <w:r w:rsidRPr="004509AB">
          <w:rPr>
            <w:rFonts w:ascii="inherit" w:eastAsia="Times New Roman" w:hAnsi="inherit" w:cs="Times New Roman"/>
            <w:color w:val="0000FF"/>
            <w:sz w:val="13"/>
            <w:szCs w:val="13"/>
            <w:u w:val="single"/>
            <w:vertAlign w:val="superscript"/>
          </w:rPr>
          <w:t>2</w:t>
        </w:r>
        <w:r w:rsidRPr="004509AB">
          <w:rPr>
            <w:rFonts w:ascii="inherit" w:eastAsia="Times New Roman" w:hAnsi="inherit" w:cs="Times New Roman"/>
            <w:color w:val="0000FF"/>
            <w:sz w:val="19"/>
            <w:szCs w:val="19"/>
            <w:u w:val="single"/>
          </w:rPr>
          <w:t>)</w:t>
        </w:r>
      </w:hyperlink>
      <w:r w:rsidRPr="004509AB">
        <w:rPr>
          <w:rFonts w:eastAsia="Times New Roman" w:cs="Times New Roman"/>
          <w:color w:val="000000"/>
          <w:sz w:val="19"/>
          <w:szCs w:val="19"/>
        </w:rPr>
        <w:t>  Common Position 2003/651/CFSP, </w:t>
      </w:r>
      <w:hyperlink r:id="rId12" w:history="1">
        <w:r w:rsidRPr="004509AB">
          <w:rPr>
            <w:rFonts w:ascii="inherit" w:eastAsia="Times New Roman" w:hAnsi="inherit" w:cs="Times New Roman"/>
            <w:color w:val="0000FF"/>
            <w:sz w:val="19"/>
            <w:szCs w:val="19"/>
            <w:u w:val="single"/>
          </w:rPr>
          <w:t>OJ L 229, 13.9.2003</w:t>
        </w:r>
      </w:hyperlink>
      <w:r w:rsidRPr="004509AB">
        <w:rPr>
          <w:rFonts w:eastAsia="Times New Roman" w:cs="Times New Roman"/>
          <w:color w:val="000000"/>
          <w:sz w:val="19"/>
          <w:szCs w:val="19"/>
        </w:rPr>
        <w:t>.</w:t>
      </w:r>
    </w:p>
    <w:p w:rsidR="004509AB" w:rsidRPr="004509AB" w:rsidRDefault="004509AB" w:rsidP="004509AB">
      <w:pPr>
        <w:spacing w:before="60" w:after="60" w:line="240" w:lineRule="auto"/>
        <w:jc w:val="both"/>
        <w:rPr>
          <w:rFonts w:eastAsia="Times New Roman" w:cs="Times New Roman"/>
          <w:color w:val="000000"/>
          <w:sz w:val="19"/>
          <w:szCs w:val="19"/>
        </w:rPr>
      </w:pPr>
      <w:hyperlink r:id="rId13" w:anchor="ntc3-CE2004070EN.01014001-E0003" w:history="1">
        <w:r w:rsidRPr="004509AB">
          <w:rPr>
            <w:rFonts w:ascii="inherit" w:eastAsia="Times New Roman" w:hAnsi="inherit" w:cs="Times New Roman"/>
            <w:color w:val="0000FF"/>
            <w:sz w:val="19"/>
            <w:szCs w:val="19"/>
            <w:u w:val="single"/>
          </w:rPr>
          <w:t>(</w:t>
        </w:r>
        <w:r w:rsidRPr="004509AB">
          <w:rPr>
            <w:rFonts w:ascii="inherit" w:eastAsia="Times New Roman" w:hAnsi="inherit" w:cs="Times New Roman"/>
            <w:color w:val="0000FF"/>
            <w:sz w:val="13"/>
            <w:szCs w:val="13"/>
            <w:u w:val="single"/>
            <w:vertAlign w:val="superscript"/>
          </w:rPr>
          <w:t>3</w:t>
        </w:r>
        <w:r w:rsidRPr="004509AB">
          <w:rPr>
            <w:rFonts w:ascii="inherit" w:eastAsia="Times New Roman" w:hAnsi="inherit" w:cs="Times New Roman"/>
            <w:color w:val="0000FF"/>
            <w:sz w:val="19"/>
            <w:szCs w:val="19"/>
            <w:u w:val="single"/>
          </w:rPr>
          <w:t>)</w:t>
        </w:r>
      </w:hyperlink>
      <w:r w:rsidRPr="004509AB">
        <w:rPr>
          <w:rFonts w:eastAsia="Times New Roman" w:cs="Times New Roman"/>
          <w:color w:val="000000"/>
          <w:sz w:val="19"/>
          <w:szCs w:val="19"/>
        </w:rPr>
        <w:t>  See for modalities of this co-operation Council Decision 2003/48/JHA, </w:t>
      </w:r>
      <w:hyperlink r:id="rId14" w:history="1">
        <w:r w:rsidRPr="004509AB">
          <w:rPr>
            <w:rFonts w:ascii="inherit" w:eastAsia="Times New Roman" w:hAnsi="inherit" w:cs="Times New Roman"/>
            <w:color w:val="0000FF"/>
            <w:sz w:val="19"/>
            <w:szCs w:val="19"/>
            <w:u w:val="single"/>
          </w:rPr>
          <w:t>OJ L 16, 22.1.2003, p. 68</w:t>
        </w:r>
      </w:hyperlink>
      <w:r w:rsidRPr="004509AB">
        <w:rPr>
          <w:rFonts w:eastAsia="Times New Roman" w:cs="Times New Roman"/>
          <w:color w:val="000000"/>
          <w:sz w:val="19"/>
          <w:szCs w:val="19"/>
        </w:rPr>
        <w:t>.</w:t>
      </w:r>
    </w:p>
    <w:p w:rsidR="004509AB" w:rsidRPr="004509AB" w:rsidRDefault="004509AB" w:rsidP="004509AB">
      <w:pPr>
        <w:spacing w:before="60" w:after="60" w:line="240" w:lineRule="auto"/>
        <w:jc w:val="both"/>
        <w:rPr>
          <w:rFonts w:eastAsia="Times New Roman" w:cs="Times New Roman"/>
          <w:color w:val="000000"/>
          <w:sz w:val="19"/>
          <w:szCs w:val="19"/>
        </w:rPr>
      </w:pPr>
      <w:hyperlink r:id="rId15" w:anchor="ntc4-CE2004070EN.01014001-E0004" w:history="1">
        <w:r w:rsidRPr="004509AB">
          <w:rPr>
            <w:rFonts w:ascii="inherit" w:eastAsia="Times New Roman" w:hAnsi="inherit" w:cs="Times New Roman"/>
            <w:color w:val="0000FF"/>
            <w:sz w:val="19"/>
            <w:szCs w:val="19"/>
            <w:u w:val="single"/>
          </w:rPr>
          <w:t>(</w:t>
        </w:r>
        <w:r w:rsidRPr="004509AB">
          <w:rPr>
            <w:rFonts w:ascii="inherit" w:eastAsia="Times New Roman" w:hAnsi="inherit" w:cs="Times New Roman"/>
            <w:color w:val="0000FF"/>
            <w:sz w:val="13"/>
            <w:szCs w:val="13"/>
            <w:u w:val="single"/>
            <w:vertAlign w:val="superscript"/>
          </w:rPr>
          <w:t>4</w:t>
        </w:r>
        <w:r w:rsidRPr="004509AB">
          <w:rPr>
            <w:rFonts w:ascii="inherit" w:eastAsia="Times New Roman" w:hAnsi="inherit" w:cs="Times New Roman"/>
            <w:color w:val="0000FF"/>
            <w:sz w:val="19"/>
            <w:szCs w:val="19"/>
            <w:u w:val="single"/>
          </w:rPr>
          <w:t>)</w:t>
        </w:r>
      </w:hyperlink>
      <w:r w:rsidRPr="004509AB">
        <w:rPr>
          <w:rFonts w:eastAsia="Times New Roman" w:cs="Times New Roman"/>
          <w:color w:val="000000"/>
          <w:sz w:val="19"/>
          <w:szCs w:val="19"/>
        </w:rPr>
        <w:t>  </w:t>
      </w:r>
      <w:hyperlink r:id="rId16" w:history="1">
        <w:r w:rsidRPr="004509AB">
          <w:rPr>
            <w:rFonts w:ascii="inherit" w:eastAsia="Times New Roman" w:hAnsi="inherit" w:cs="Times New Roman"/>
            <w:color w:val="0000FF"/>
            <w:sz w:val="19"/>
            <w:szCs w:val="19"/>
            <w:u w:val="single"/>
          </w:rPr>
          <w:t>OJ L 344, 28.12.2001</w:t>
        </w:r>
      </w:hyperlink>
      <w:r w:rsidRPr="004509AB">
        <w:rPr>
          <w:rFonts w:eastAsia="Times New Roman" w:cs="Times New Roman"/>
          <w:color w:val="000000"/>
          <w:sz w:val="19"/>
          <w:szCs w:val="19"/>
        </w:rPr>
        <w:t>. See also Council Decision 2003/646/EC of 12 September 2003 implementing Article 2(3) of Regulation (EC) No 2580/2001 on specific restrictive measures directed against certain persons and entities with a view to combating terrorism and repealing Decision 2003/480/EC, </w:t>
      </w:r>
      <w:hyperlink r:id="rId17" w:history="1">
        <w:r w:rsidRPr="004509AB">
          <w:rPr>
            <w:rFonts w:ascii="inherit" w:eastAsia="Times New Roman" w:hAnsi="inherit" w:cs="Times New Roman"/>
            <w:color w:val="0000FF"/>
            <w:sz w:val="19"/>
            <w:szCs w:val="19"/>
            <w:u w:val="single"/>
          </w:rPr>
          <w:t>OJ L 229, 13.9.2003</w:t>
        </w:r>
      </w:hyperlink>
      <w:r w:rsidRPr="004509AB">
        <w:rPr>
          <w:rFonts w:eastAsia="Times New Roman" w:cs="Times New Roman"/>
          <w:color w:val="000000"/>
          <w:sz w:val="19"/>
          <w:szCs w:val="19"/>
        </w:rPr>
        <w:t>.</w:t>
      </w:r>
    </w:p>
    <w:p w:rsidR="002711F6" w:rsidRDefault="004509AB"/>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AB"/>
    <w:rsid w:val="004509AB"/>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8A07"/>
  <w15:chartTrackingRefBased/>
  <w15:docId w15:val="{EE12CEF2-6E73-4333-A5B8-8ABDF7A6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ti">
    <w:name w:val="hd-ti"/>
    <w:basedOn w:val="Normal"/>
    <w:rsid w:val="004509AB"/>
    <w:pPr>
      <w:spacing w:before="100" w:beforeAutospacing="1" w:after="100" w:afterAutospacing="1" w:line="240" w:lineRule="auto"/>
    </w:pPr>
    <w:rPr>
      <w:rFonts w:eastAsia="Times New Roman" w:cs="Times New Roman"/>
      <w:szCs w:val="24"/>
    </w:rPr>
  </w:style>
  <w:style w:type="paragraph" w:customStyle="1" w:styleId="hd-oj">
    <w:name w:val="hd-oj"/>
    <w:basedOn w:val="Normal"/>
    <w:rsid w:val="004509AB"/>
    <w:pPr>
      <w:spacing w:before="100" w:beforeAutospacing="1" w:after="100" w:afterAutospacing="1" w:line="240" w:lineRule="auto"/>
    </w:pPr>
    <w:rPr>
      <w:rFonts w:eastAsia="Times New Roman" w:cs="Times New Roman"/>
      <w:szCs w:val="24"/>
    </w:rPr>
  </w:style>
  <w:style w:type="paragraph" w:customStyle="1" w:styleId="no-doc-c">
    <w:name w:val="no-doc-c"/>
    <w:basedOn w:val="Normal"/>
    <w:rsid w:val="004509AB"/>
    <w:pPr>
      <w:spacing w:before="100" w:beforeAutospacing="1" w:after="100" w:afterAutospacing="1" w:line="240" w:lineRule="auto"/>
    </w:pPr>
    <w:rPr>
      <w:rFonts w:eastAsia="Times New Roman" w:cs="Times New Roman"/>
      <w:szCs w:val="24"/>
    </w:rPr>
  </w:style>
  <w:style w:type="paragraph" w:customStyle="1" w:styleId="doc-ti">
    <w:name w:val="doc-ti"/>
    <w:basedOn w:val="Normal"/>
    <w:rsid w:val="004509AB"/>
    <w:pPr>
      <w:spacing w:before="100" w:beforeAutospacing="1" w:after="100" w:afterAutospacing="1" w:line="240" w:lineRule="auto"/>
    </w:pPr>
    <w:rPr>
      <w:rFonts w:eastAsia="Times New Roman" w:cs="Times New Roman"/>
      <w:szCs w:val="24"/>
    </w:rPr>
  </w:style>
  <w:style w:type="paragraph" w:customStyle="1" w:styleId="ti-grseq-1">
    <w:name w:val="ti-grseq-1"/>
    <w:basedOn w:val="Normal"/>
    <w:rsid w:val="004509AB"/>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rsid w:val="004509AB"/>
  </w:style>
  <w:style w:type="paragraph" w:customStyle="1" w:styleId="normal0">
    <w:name w:val="normal"/>
    <w:basedOn w:val="Normal"/>
    <w:rsid w:val="004509AB"/>
    <w:pPr>
      <w:spacing w:before="100" w:beforeAutospacing="1" w:after="100" w:afterAutospacing="1" w:line="240" w:lineRule="auto"/>
    </w:pPr>
    <w:rPr>
      <w:rFonts w:eastAsia="Times New Roman" w:cs="Times New Roman"/>
      <w:szCs w:val="24"/>
    </w:rPr>
  </w:style>
  <w:style w:type="character" w:customStyle="1" w:styleId="sp-normal">
    <w:name w:val="sp-normal"/>
    <w:basedOn w:val="DefaultParagraphFont"/>
    <w:rsid w:val="004509AB"/>
  </w:style>
  <w:style w:type="character" w:styleId="Hyperlink">
    <w:name w:val="Hyperlink"/>
    <w:basedOn w:val="DefaultParagraphFont"/>
    <w:uiPriority w:val="99"/>
    <w:semiHidden/>
    <w:unhideWhenUsed/>
    <w:rsid w:val="004509AB"/>
    <w:rPr>
      <w:color w:val="0000FF"/>
      <w:u w:val="single"/>
    </w:rPr>
  </w:style>
  <w:style w:type="character" w:customStyle="1" w:styleId="super">
    <w:name w:val="super"/>
    <w:basedOn w:val="DefaultParagraphFont"/>
    <w:rsid w:val="004509AB"/>
  </w:style>
  <w:style w:type="paragraph" w:customStyle="1" w:styleId="note">
    <w:name w:val="note"/>
    <w:basedOn w:val="Normal"/>
    <w:rsid w:val="004509A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4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92003E002774&amp;qid=1402224645432&amp;from=EN" TargetMode="External"/><Relationship Id="rId13" Type="http://schemas.openxmlformats.org/officeDocument/2006/relationships/hyperlink" Target="https://eur-lex.europa.eu/legal-content/EN/TXT/HTML/?uri=CELEX:92003E002774&amp;qid=1402224645432&amp;from=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lex.europa.eu/legal-content/EN/TXT/HTML/?uri=CELEX:92003E002774&amp;qid=1402224645432&amp;from=EN" TargetMode="External"/><Relationship Id="rId12" Type="http://schemas.openxmlformats.org/officeDocument/2006/relationships/hyperlink" Target="https://eur-lex.europa.eu/legal-content/EN/AUTO/?uri=OJ:L:2003:229:TOC" TargetMode="External"/><Relationship Id="rId17" Type="http://schemas.openxmlformats.org/officeDocument/2006/relationships/hyperlink" Target="https://eur-lex.europa.eu/legal-content/EN/AUTO/?uri=OJ:L:2003:229:TOC" TargetMode="External"/><Relationship Id="rId2" Type="http://schemas.openxmlformats.org/officeDocument/2006/relationships/settings" Target="settings.xml"/><Relationship Id="rId16" Type="http://schemas.openxmlformats.org/officeDocument/2006/relationships/hyperlink" Target="https://eur-lex.europa.eu/legal-content/EN/AUTO/?uri=OJ:L:2001:344:TOC" TargetMode="External"/><Relationship Id="rId1" Type="http://schemas.openxmlformats.org/officeDocument/2006/relationships/styles" Target="styles.xml"/><Relationship Id="rId6" Type="http://schemas.openxmlformats.org/officeDocument/2006/relationships/hyperlink" Target="https://eur-lex.europa.eu/legal-content/EN/TXT/HTML/?uri=CELEX:92003E002774&amp;qid=1402224645432&amp;from=EN" TargetMode="External"/><Relationship Id="rId11" Type="http://schemas.openxmlformats.org/officeDocument/2006/relationships/hyperlink" Target="https://eur-lex.europa.eu/legal-content/EN/TXT/HTML/?uri=CELEX:92003E002774&amp;qid=1402224645432&amp;from=EN" TargetMode="External"/><Relationship Id="rId5" Type="http://schemas.openxmlformats.org/officeDocument/2006/relationships/hyperlink" Target="https://eur-lex.europa.eu/legal-content/EN/TXT/HTML/?uri=CELEX:92003E002774&amp;qid=1402224645432&amp;from=EN" TargetMode="External"/><Relationship Id="rId15" Type="http://schemas.openxmlformats.org/officeDocument/2006/relationships/hyperlink" Target="https://eur-lex.europa.eu/legal-content/EN/TXT/HTML/?uri=CELEX:92003E002774&amp;qid=1402224645432&amp;from=EN" TargetMode="External"/><Relationship Id="rId10" Type="http://schemas.openxmlformats.org/officeDocument/2006/relationships/hyperlink" Target="https://eur-lex.europa.eu/legal-content/EN/AUTO/?uri=OJ:L:2001:344:TOC" TargetMode="External"/><Relationship Id="rId19" Type="http://schemas.openxmlformats.org/officeDocument/2006/relationships/theme" Target="theme/theme1.xml"/><Relationship Id="rId4" Type="http://schemas.openxmlformats.org/officeDocument/2006/relationships/hyperlink" Target="https://eur-lex.europa.eu/legal-content/EN/TXT/HTML/?uri=CELEX:92003E002774&amp;qid=1402224645432&amp;from=EN" TargetMode="External"/><Relationship Id="rId9" Type="http://schemas.openxmlformats.org/officeDocument/2006/relationships/hyperlink" Target="https://eur-lex.europa.eu/legal-content/EN/TXT/HTML/?uri=CELEX:92003E002774&amp;qid=1402224645432&amp;from=EN" TargetMode="External"/><Relationship Id="rId14" Type="http://schemas.openxmlformats.org/officeDocument/2006/relationships/hyperlink" Target="https://eur-lex.europa.eu/legal-content/EN/AUTO/?uri=OJ:L:2003:016: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2020-06-08T19:54:00Z</dcterms:created>
  <dcterms:modified xsi:type="dcterms:W3CDTF">2020-06-08T19:55:00Z</dcterms:modified>
</cp:coreProperties>
</file>